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+5bGfOAAAA/wAAAA8AAAAAAAAAAQAgAAAAOAAAAGRycy9k&#10;b3ducmV2LnhtbFBLAQIUABQAAAAIAIdO4kA5xl4y9gEAAAkEAAAOAAAAAAAAAAEAIAAAAD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bidi w:val="0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</w:pPr>
    </w:p>
    <w:p>
      <w:pPr>
        <w:bidi w:val="0"/>
        <w:spacing w:before="31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4"/>
          <w:sz w:val="32"/>
          <w:szCs w:val="32"/>
        </w:rPr>
        <w:t>年定期统计报表制度》的第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2年1月1日至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2年3月31日。</w:t>
      </w:r>
      <w:r>
        <w:rPr>
          <w:rFonts w:hint="eastAsia" w:ascii="仿宋_GB2312" w:eastAsia="仿宋_GB2312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一、药品日常监管情况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二、</w:t>
      </w:r>
      <w:r>
        <w:rPr>
          <w:rFonts w:hint="eastAsia" w:ascii="仿宋_GB2312" w:eastAsia="仿宋_GB2312"/>
          <w:color w:val="000000"/>
          <w:sz w:val="28"/>
          <w:u w:val="none"/>
        </w:rPr>
        <w:t>医疗器械监管情况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</w:t>
      </w:r>
      <w:r>
        <w:rPr>
          <w:rFonts w:hint="eastAsia" w:eastAsia="仿宋_GB2312"/>
          <w:color w:val="000000"/>
          <w:sz w:val="28"/>
          <w:szCs w:val="28"/>
          <w:u w:val="none"/>
        </w:rPr>
        <w:t>化妆品日常监管情况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</w:t>
      </w:r>
      <w:r>
        <w:rPr>
          <w:rFonts w:hint="eastAsia"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全区查处违法“两品一械”案件情况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附表1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................................6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附表2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全区药品经营企业日常监管情况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6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附表3  全</w:t>
      </w:r>
      <w:r>
        <w:rPr>
          <w:rFonts w:hint="eastAsia" w:eastAsia="仿宋_GB2312"/>
          <w:color w:val="000000"/>
          <w:sz w:val="28"/>
          <w:szCs w:val="28"/>
          <w:u w:val="none"/>
        </w:rPr>
        <w:t>区医疗器械注册证审批情况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附表4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附表5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附表6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附表7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附表8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全区化妆品生产日常监管情况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附表9  </w:t>
      </w:r>
      <w:r>
        <w:rPr>
          <w:rFonts w:hint="eastAsia" w:eastAsia="仿宋_GB2312"/>
          <w:color w:val="000000"/>
          <w:sz w:val="28"/>
          <w:szCs w:val="28"/>
          <w:u w:val="none"/>
        </w:rPr>
        <w:t>各地查处违法案件情况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全区查处违法药品案件情况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全区查处违法医疗器械案件情况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全区违法化妆品案件查处情况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bookmarkStart w:id="0" w:name="_GoBack"/>
      <w:bookmarkEnd w:id="0"/>
      <w:r>
        <w:rPr>
          <w:rFonts w:ascii="仿宋_GB2312" w:eastAsia="仿宋_GB2312"/>
          <w:sz w:val="28"/>
        </w:rPr>
        <w:t>17</w:t>
      </w: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361" w:bottom="1928" w:left="1588" w:header="720" w:footer="1531" w:gutter="0"/>
          <w:pgNumType w:start="0"/>
          <w:cols w:space="720" w:num="1"/>
          <w:titlePg/>
          <w:docGrid w:type="linesAndChars" w:linePitch="312" w:charSpace="-817"/>
        </w:sectPr>
      </w:pP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</w:t>
      </w:r>
      <w:r>
        <w:rPr>
          <w:rFonts w:hint="eastAsia" w:ascii="黑体" w:eastAsia="黑体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季度，全区共检查药品生产企业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266</w:t>
      </w:r>
      <w:r>
        <w:rPr>
          <w:rFonts w:hint="eastAsia" w:ascii="仿宋_GB2312" w:eastAsia="仿宋_GB2312"/>
          <w:sz w:val="32"/>
          <w:szCs w:val="32"/>
        </w:rPr>
        <w:t>家次，发现违法违规的生产企业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eastAsia="仿宋_GB2312"/>
          <w:sz w:val="32"/>
          <w:szCs w:val="32"/>
        </w:rPr>
        <w:t>家次，完成整改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季度，全区共检查药品批发企业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184</w:t>
      </w:r>
      <w:r>
        <w:rPr>
          <w:rFonts w:hint="eastAsia" w:ascii="仿宋_GB2312" w:eastAsia="仿宋_GB2312"/>
          <w:sz w:val="32"/>
          <w:szCs w:val="32"/>
        </w:rPr>
        <w:t>家次，药品零售企业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15766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1826家次，</w:t>
      </w:r>
      <w:r>
        <w:rPr>
          <w:rFonts w:hint="eastAsia" w:ascii="仿宋_GB2312" w:eastAsia="仿宋_GB2312"/>
          <w:sz w:val="32"/>
          <w:szCs w:val="32"/>
        </w:rPr>
        <w:t>发现违法违规的经营企业共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719</w:t>
      </w:r>
      <w:r>
        <w:rPr>
          <w:rFonts w:hint="eastAsia" w:ascii="仿宋_GB2312" w:eastAsia="仿宋_GB2312"/>
          <w:sz w:val="32"/>
          <w:szCs w:val="32"/>
        </w:rPr>
        <w:t>家次，完成整改共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543</w:t>
      </w:r>
      <w:r>
        <w:rPr>
          <w:rFonts w:hint="eastAsia" w:ascii="仿宋_GB2312" w:eastAsia="仿宋_GB2312"/>
          <w:sz w:val="32"/>
          <w:szCs w:val="32"/>
        </w:rPr>
        <w:t>家次。（详见附表2）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hint="eastAsia" w:ascii="仿宋_GB2312" w:eastAsia="仿宋_GB2312"/>
          <w:sz w:val="32"/>
          <w:szCs w:val="32"/>
        </w:rPr>
        <w:t>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1594</w:t>
      </w:r>
      <w:r>
        <w:rPr>
          <w:rFonts w:hint="eastAsia" w:ascii="仿宋_GB2312" w:eastAsia="仿宋_GB2312"/>
          <w:sz w:val="32"/>
          <w:szCs w:val="32"/>
        </w:rPr>
        <w:t>件，Ⅱ类医疗器械注册证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1272</w:t>
      </w:r>
      <w:r>
        <w:rPr>
          <w:rFonts w:hint="eastAsia" w:ascii="仿宋_GB2312" w:eastAsia="仿宋_GB2312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，全区共有医疗器械生产企业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353</w:t>
      </w:r>
      <w:r>
        <w:rPr>
          <w:rFonts w:hint="eastAsia" w:ascii="仿宋_GB2312" w:eastAsia="仿宋_GB2312"/>
          <w:sz w:val="32"/>
          <w:szCs w:val="32"/>
        </w:rPr>
        <w:t>家，生产一类产品的有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</w:t>
      </w:r>
      <w:r>
        <w:rPr>
          <w:rFonts w:hint="eastAsia" w:ascii="仿宋_GB2312" w:eastAsia="仿宋_GB2312"/>
          <w:sz w:val="32"/>
          <w:szCs w:val="32"/>
        </w:rPr>
        <w:t>家，生产二类产品的有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</w:t>
      </w:r>
      <w:r>
        <w:rPr>
          <w:rFonts w:hint="eastAsia" w:ascii="仿宋_GB2312" w:eastAsia="仿宋_GB2312"/>
          <w:sz w:val="32"/>
          <w:szCs w:val="32"/>
        </w:rPr>
        <w:t>家，生产三类产品的有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家。（详见附表4）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hint="eastAsia" w:ascii="楷体_GB2312" w:eastAsia="楷体_GB2312" w:cs="Times New Roman"/>
          <w:b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，仅经营二类医疗器械产品的企业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32817</w:t>
      </w:r>
      <w:r>
        <w:rPr>
          <w:rFonts w:hint="eastAsia" w:ascii="仿宋_GB2312" w:eastAsia="仿宋_GB2312"/>
          <w:sz w:val="32"/>
          <w:szCs w:val="32"/>
        </w:rPr>
        <w:t>家，仅经营三类医疗器械产品的企业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1174</w:t>
      </w:r>
      <w:r>
        <w:rPr>
          <w:rFonts w:hint="eastAsia" w:ascii="仿宋_GB2312" w:eastAsia="仿宋_GB2312"/>
          <w:sz w:val="32"/>
          <w:szCs w:val="32"/>
        </w:rPr>
        <w:t>家，同时经营二、三类医疗器械产品的企业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6584</w:t>
      </w:r>
      <w:r>
        <w:rPr>
          <w:rFonts w:hint="eastAsia" w:ascii="仿宋_GB2312" w:eastAsia="仿宋_GB2312"/>
          <w:sz w:val="32"/>
          <w:szCs w:val="32"/>
        </w:rPr>
        <w:t>家，医疗器械网络交易服务第三方平台期末实有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（四）医疗器械生产日常监管情况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，各级监管机构共检查医疗器械生产企业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238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家次。全面检查高风险企业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47</w:t>
      </w:r>
      <w:r>
        <w:rPr>
          <w:rFonts w:ascii="仿宋_GB2312" w:eastAsia="仿宋_GB2312" w:cs="Times New Roman"/>
          <w:sz w:val="32"/>
          <w:szCs w:val="32"/>
          <w:lang w:bidi="ar-SA"/>
        </w:rPr>
        <w:t>家次，其中，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无菌医疗器械生产企业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43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，第三类医疗器械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Times New Roman"/>
          <w:sz w:val="32"/>
          <w:szCs w:val="32"/>
          <w:lang w:bidi="ar-SA"/>
        </w:rPr>
        <w:t>家次，停产整改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（详见附表6）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12350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9</w:t>
      </w:r>
      <w:r>
        <w:rPr>
          <w:rFonts w:ascii="仿宋_GB2312" w:eastAsia="仿宋_GB2312" w:cs="Times New Roman"/>
          <w:sz w:val="32"/>
          <w:szCs w:val="32"/>
          <w:lang w:bidi="ar-SA"/>
        </w:rPr>
        <w:t>家次。存在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违法违规的企业或单位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157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133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家次。（详见附表7）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>
      <w:pPr>
        <w:pStyle w:val="2"/>
        <w:bidi w:val="0"/>
        <w:spacing w:before="0" w:after="0" w:line="560" w:lineRule="exact"/>
        <w:ind w:left="640"/>
        <w:rPr>
          <w:rFonts w:hint="eastAsia" w:ascii="黑体" w:eastAsia="黑体"/>
          <w:b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hint="eastAsia" w:ascii="黑体" w:eastAsia="黑体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</w:t>
      </w:r>
      <w:r>
        <w:rPr>
          <w:rFonts w:hint="eastAsia" w:ascii="仿宋_GB2312" w:eastAsia="仿宋_GB2312"/>
          <w:color w:val="000000"/>
          <w:sz w:val="32"/>
          <w:szCs w:val="32"/>
        </w:rPr>
        <w:t>全区共检查化妆品生产企业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家次。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一季度抽验任务未下达。</w:t>
      </w:r>
      <w:r>
        <w:rPr>
          <w:rFonts w:hint="eastAsia" w:ascii="仿宋_GB2312" w:eastAsia="仿宋_GB2312"/>
          <w:color w:val="000000"/>
          <w:sz w:val="32"/>
          <w:szCs w:val="32"/>
        </w:rPr>
        <w:t>（详见附表8）</w:t>
      </w:r>
    </w:p>
    <w:p>
      <w:pPr>
        <w:pStyle w:val="2"/>
        <w:bidi w:val="0"/>
        <w:spacing w:before="0" w:after="0" w:line="52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hint="eastAsia" w:ascii="黑体" w:eastAsia="黑体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季度，全区查处违法“两品一械”案件共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684</w:t>
      </w:r>
      <w:r>
        <w:rPr>
          <w:rFonts w:hint="eastAsia" w:ascii="仿宋_GB2312" w:eastAsia="仿宋_GB2312"/>
          <w:sz w:val="32"/>
          <w:szCs w:val="32"/>
        </w:rPr>
        <w:t>件，其中一般程序案件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587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季度，全区共查处药品一般程序案件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314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查处药品一般程序案件货值金额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1099.52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500.95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12.64</w:t>
      </w:r>
      <w:r>
        <w:rPr>
          <w:rFonts w:hint="eastAsia" w:ascii="仿宋_GB2312" w:eastAsia="仿宋_GB2312"/>
          <w:sz w:val="32"/>
          <w:szCs w:val="32"/>
        </w:rPr>
        <w:t>万元，责令</w:t>
      </w:r>
      <w:r>
        <w:rPr>
          <w:rFonts w:ascii="仿宋_GB2312" w:eastAsia="仿宋_GB2312"/>
          <w:sz w:val="32"/>
          <w:szCs w:val="32"/>
        </w:rPr>
        <w:t>停产停业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户，移送司法机关案件数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件，行政处罚案件信息公开数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227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</w:t>
      </w:r>
      <w:r>
        <w:rPr>
          <w:rFonts w:hint="eastAsia" w:ascii="仿宋_GB2312" w:eastAsia="仿宋_GB2312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万元以下的案件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311件，货值10万元-20万元案件1件，货值50万元-1000万元案件2件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季度，查处药品一般程序案件的主要渠道为日常监管和专项检查，为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</w:t>
      </w:r>
      <w:r>
        <w:rPr>
          <w:rFonts w:hint="eastAsia" w:ascii="仿宋_GB2312" w:eastAsia="仿宋_GB2312"/>
          <w:sz w:val="32"/>
          <w:szCs w:val="32"/>
        </w:rPr>
        <w:t>件，占一般程序案件总数的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76.43</w:t>
      </w:r>
      <w:r>
        <w:rPr>
          <w:rFonts w:hint="eastAsia" w:ascii="仿宋_GB2312" w:eastAsia="仿宋_GB2312"/>
          <w:sz w:val="32"/>
          <w:szCs w:val="32"/>
        </w:rPr>
        <w:t>%。药品一般程序案件的违法主体以经营企业居多，为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</w:t>
      </w:r>
      <w:r>
        <w:rPr>
          <w:rFonts w:hint="eastAsia" w:ascii="仿宋_GB2312" w:eastAsia="仿宋_GB2312"/>
          <w:sz w:val="32"/>
          <w:szCs w:val="32"/>
        </w:rPr>
        <w:t>件，占案件总数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67.52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件。</w:t>
      </w:r>
      <w:r>
        <w:rPr>
          <w:rFonts w:hint="eastAsia" w:ascii="仿宋_GB2312" w:eastAsia="仿宋_GB2312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21.82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104.74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1.76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98.80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5万元-20万元案件1件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案件的主要来源是日常监管和专项检查，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80.72</w:t>
      </w:r>
      <w:r>
        <w:rPr>
          <w:rFonts w:hint="eastAsia" w:ascii="仿宋_GB2312" w:eastAsia="仿宋_GB2312"/>
          <w:sz w:val="32"/>
          <w:szCs w:val="32"/>
        </w:rPr>
        <w:t>%。从违法主体看，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63.86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季度，全区查处违法化妆品一般程序案件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</w:t>
      </w:r>
      <w:r>
        <w:rPr>
          <w:rFonts w:hint="eastAsia" w:ascii="仿宋_GB2312" w:eastAsia="仿宋_GB2312"/>
          <w:sz w:val="32"/>
          <w:szCs w:val="32"/>
        </w:rPr>
        <w:t>件，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简易程序案件。一般程序案件中货值金额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23.41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83.99</w:t>
      </w:r>
      <w:r>
        <w:rPr>
          <w:rFonts w:hint="eastAsia" w:ascii="仿宋_GB2312" w:eastAsia="仿宋_GB2312"/>
          <w:sz w:val="32"/>
          <w:szCs w:val="32"/>
        </w:rPr>
        <w:t>万元，没收违法所得金额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2.66</w:t>
      </w:r>
      <w:r>
        <w:rPr>
          <w:rFonts w:hint="eastAsia" w:ascii="仿宋_GB2312" w:eastAsia="仿宋_GB2312"/>
          <w:sz w:val="32"/>
          <w:szCs w:val="32"/>
        </w:rPr>
        <w:t>万元，行政处罚案件信息公开数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</w:t>
      </w:r>
      <w:r>
        <w:rPr>
          <w:rFonts w:hint="eastAsia" w:ascii="仿宋_GB2312" w:eastAsia="仿宋_GB2312"/>
          <w:sz w:val="32"/>
          <w:szCs w:val="32"/>
        </w:rPr>
        <w:t>件。从案件来源看，主要来源于日常监管和专项检查，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121件，</w:t>
      </w:r>
      <w:r>
        <w:rPr>
          <w:rFonts w:hint="eastAsia" w:ascii="仿宋_GB2312" w:eastAsia="仿宋_GB2312"/>
          <w:sz w:val="32"/>
          <w:szCs w:val="32"/>
        </w:rPr>
        <w:t>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63.68</w:t>
      </w:r>
      <w:r>
        <w:rPr>
          <w:rFonts w:hint="eastAsia" w:ascii="仿宋_GB2312" w:eastAsia="仿宋_GB2312"/>
          <w:sz w:val="32"/>
          <w:szCs w:val="32"/>
        </w:rPr>
        <w:t>%。从货值划分看，货值2万元以下的案件占一般程序案件总数的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98.95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2万元-20万元案件2件</w:t>
      </w:r>
      <w:r>
        <w:rPr>
          <w:rFonts w:hint="eastAsia" w:ascii="仿宋_GB2312" w:eastAsia="仿宋_GB2312"/>
          <w:sz w:val="32"/>
          <w:szCs w:val="32"/>
        </w:rPr>
        <w:t>；从违法主体来看，主要是经营企业，占一般程序案件总数的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54.74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附表1</w:t>
      </w:r>
    </w:p>
    <w:p>
      <w:pPr>
        <w:pStyle w:val="2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全区药品生产日常监管情况</w:t>
      </w:r>
    </w:p>
    <w:tbl>
      <w:tblPr>
        <w:tblStyle w:val="8"/>
        <w:tblW w:w="8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36</w:t>
            </w:r>
          </w:p>
        </w:tc>
      </w:tr>
    </w:tbl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附表2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全区药品经营企业日常监管情况</w:t>
      </w:r>
    </w:p>
    <w:tbl>
      <w:tblPr>
        <w:tblStyle w:val="8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283"/>
        <w:gridCol w:w="1620"/>
        <w:gridCol w:w="16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184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15766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601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478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53</w:t>
            </w:r>
          </w:p>
        </w:tc>
      </w:tr>
    </w:tbl>
    <w:p>
      <w:pPr>
        <w:bidi w:val="0"/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附表3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2866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附表4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8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353</w:t>
            </w:r>
          </w:p>
        </w:tc>
      </w:tr>
    </w:tbl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附表5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32817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6584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13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全区医疗器械生产日常监管情况</w:t>
      </w:r>
    </w:p>
    <w:tbl>
      <w:tblPr>
        <w:tblStyle w:val="8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</w:t>
            </w:r>
          </w:p>
        </w:tc>
      </w:tr>
    </w:tbl>
    <w:p>
      <w:pPr>
        <w:pStyle w:val="2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4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全区医疗器械经营、使用日常监管情况</w:t>
      </w:r>
    </w:p>
    <w:tbl>
      <w:tblPr>
        <w:tblStyle w:val="8"/>
        <w:tblW w:w="9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、医疗器械网络交易服务第三方平台</w:t>
            </w: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12350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133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全区化妆品生产企业日常监管情况</w:t>
      </w:r>
    </w:p>
    <w:tbl>
      <w:tblPr>
        <w:tblStyle w:val="8"/>
        <w:tblW w:w="87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各地查处违法案件情况</w:t>
      </w:r>
    </w:p>
    <w:tbl>
      <w:tblPr>
        <w:tblStyle w:val="8"/>
        <w:tblW w:w="135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</w:rPr>
            </w:pPr>
            <w:r>
              <w:rPr>
                <w:rStyle w:val="9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全区查处违法药品案件情况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1099.52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500.95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265.43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全区查处违法医疗器械案件情况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处罚到人的人数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人次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bidi w:val="0"/>
        <w:spacing w:before="240"/>
        <w:rPr>
          <w:rFonts w:hint="eastAsia" w:eastAsia="仿宋_GB2312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全区违法化妆品案件查处情况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/>
    <w:sectPr>
      <w:headerReference r:id="rId5" w:type="default"/>
      <w:footerReference r:id="rId7" w:type="default"/>
      <w:headerReference r:id="rId6" w:type="even"/>
      <w:pgSz w:w="11907" w:h="16840"/>
      <w:pgMar w:top="1531" w:right="1531" w:bottom="1531" w:left="1531" w:header="851" w:footer="992" w:gutter="0"/>
      <w:pgNumType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3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5F4765D5"/>
    <w:rsid w:val="6E7B4AE7"/>
    <w:rsid w:val="7659AC20"/>
    <w:rsid w:val="7D975921"/>
    <w:rsid w:val="7EE68729"/>
    <w:rsid w:val="DF1FC577"/>
    <w:rsid w:val="DFEE90F3"/>
    <w:rsid w:val="E6F72A64"/>
    <w:rsid w:val="ED550768"/>
    <w:rsid w:val="ED7B1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Organization</Company>
  <Pages>19</Pages>
  <Words>5058</Words>
  <Characters>5769</Characters>
  <Lines>1310</Lines>
  <Paragraphs>1167</Paragraphs>
  <TotalTime>17</TotalTime>
  <ScaleCrop>false</ScaleCrop>
  <LinksUpToDate>false</LinksUpToDate>
  <CharactersWithSpaces>6137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2021-10-21T17:24:00Z</dcterms:created>
  <dc:creator>ad</dc:creator>
  <cp:lastModifiedBy>gxxc</cp:lastModifiedBy>
  <dcterms:modified xsi:type="dcterms:W3CDTF">2022-04-26T17:21:57Z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