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hint="eastAsia" w:ascii="黑体" w:hAnsi="宋体" w:eastAsia="黑体"/>
          <w:b/>
          <w:bCs/>
          <w:sz w:val="36"/>
          <w:szCs w:val="36"/>
        </w:rPr>
        <w:t>常春藤</w:t>
      </w:r>
    </w:p>
    <w:p>
      <w:pPr>
        <w:jc w:val="center"/>
        <w:rPr>
          <w:rFonts w:ascii="黑体" w:hAnsi="黑体" w:eastAsia="黑体" w:cs="Times New Roman"/>
          <w:sz w:val="24"/>
          <w:szCs w:val="24"/>
        </w:rPr>
      </w:pPr>
      <w:r>
        <w:rPr>
          <w:rFonts w:ascii="黑体" w:hAnsi="宋体" w:eastAsia="黑体"/>
          <w:sz w:val="24"/>
          <w:szCs w:val="20"/>
        </w:rPr>
        <w:t>Changchunten</w:t>
      </w:r>
      <w:r>
        <w:rPr>
          <w:rFonts w:hint="eastAsia" w:ascii="黑体" w:hAnsi="宋体" w:eastAsia="黑体"/>
          <w:sz w:val="24"/>
          <w:szCs w:val="20"/>
        </w:rPr>
        <w:t>g</w:t>
      </w:r>
    </w:p>
    <w:p>
      <w:pPr>
        <w:spacing w:line="360" w:lineRule="auto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HEDERAE </w:t>
      </w:r>
      <w:r>
        <w:rPr>
          <w:rFonts w:hint="eastAsia" w:ascii="Times New Roman" w:hAnsi="Times New Roman" w:cs="Times New Roman"/>
          <w:b/>
          <w:sz w:val="28"/>
          <w:szCs w:val="28"/>
        </w:rPr>
        <w:t>SINENSIS</w:t>
      </w:r>
      <w:r>
        <w:rPr>
          <w:rFonts w:ascii="Times New Roman" w:hAnsi="Times New Roman" w:cs="Times New Roman"/>
          <w:b/>
          <w:sz w:val="28"/>
          <w:szCs w:val="28"/>
        </w:rPr>
        <w:t xml:space="preserve"> HERBA </w:t>
      </w:r>
      <w:r>
        <w:rPr>
          <w:rFonts w:hint="eastAsia" w:ascii="Times New Roman" w:hAnsi="Times New Roman" w:cs="Times New Roman"/>
          <w:b/>
          <w:sz w:val="28"/>
          <w:szCs w:val="28"/>
        </w:rPr>
        <w:t xml:space="preserve"> </w:t>
      </w:r>
    </w:p>
    <w:p>
      <w:pPr>
        <w:spacing w:line="360" w:lineRule="auto"/>
        <w:ind w:firstLine="562" w:firstLineChars="200"/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580" w:lineRule="exact"/>
        <w:ind w:firstLine="482" w:firstLineChars="200"/>
        <w:rPr>
          <w:rFonts w:ascii="Times New Roman" w:cs="Times New Roman" w:hAnsiTheme="minorEastAsia"/>
          <w:sz w:val="24"/>
          <w:szCs w:val="24"/>
        </w:rPr>
      </w:pPr>
      <w:r>
        <w:rPr>
          <w:rFonts w:ascii="Times New Roman" w:hAnsi="黑体" w:eastAsia="黑体" w:cs="Times New Roman"/>
          <w:b/>
          <w:bCs/>
          <w:sz w:val="24"/>
          <w:szCs w:val="24"/>
        </w:rPr>
        <w:t>【来源】</w:t>
      </w:r>
      <w:r>
        <w:rPr>
          <w:rFonts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hint="eastAsia" w:ascii="Times New Roman" w:cs="Times New Roman" w:hAnsiTheme="minorEastAsia"/>
          <w:sz w:val="24"/>
          <w:szCs w:val="24"/>
        </w:rPr>
        <w:t>本品为五加科植物常春藤</w:t>
      </w:r>
      <w:commentRangeStart w:id="0"/>
      <w:r>
        <w:rPr>
          <w:rFonts w:ascii="Times New Roman" w:cs="Times New Roman" w:hAnsiTheme="minorEastAsia"/>
          <w:i/>
          <w:sz w:val="24"/>
          <w:szCs w:val="24"/>
        </w:rPr>
        <w:t>Hedera</w:t>
      </w:r>
      <w:r>
        <w:rPr>
          <w:rFonts w:ascii="Times New Roman" w:cs="Times New Roman" w:hAnsiTheme="minorEastAsia"/>
          <w:sz w:val="24"/>
          <w:szCs w:val="24"/>
        </w:rPr>
        <w:t xml:space="preserve"> </w:t>
      </w:r>
      <w:r>
        <w:rPr>
          <w:rFonts w:ascii="Times New Roman" w:cs="Times New Roman" w:hAnsiTheme="minorEastAsia"/>
          <w:i/>
          <w:sz w:val="24"/>
          <w:szCs w:val="24"/>
        </w:rPr>
        <w:t>sinensis</w:t>
      </w:r>
      <w:r>
        <w:rPr>
          <w:rFonts w:hint="eastAsia" w:ascii="Times New Roman" w:cs="Times New Roman" w:hAnsiTheme="minorEastAsia"/>
          <w:sz w:val="24"/>
          <w:szCs w:val="24"/>
        </w:rPr>
        <w:t>（</w:t>
      </w:r>
      <w:r>
        <w:rPr>
          <w:rFonts w:ascii="Times New Roman" w:cs="Times New Roman" w:hAnsiTheme="minorEastAsia"/>
          <w:sz w:val="24"/>
          <w:szCs w:val="24"/>
        </w:rPr>
        <w:t>Tobler</w:t>
      </w:r>
      <w:r>
        <w:rPr>
          <w:rFonts w:hint="eastAsia" w:ascii="Times New Roman" w:cs="Times New Roman" w:hAnsiTheme="minorEastAsia"/>
          <w:sz w:val="24"/>
          <w:szCs w:val="24"/>
        </w:rPr>
        <w:t>）Hand</w:t>
      </w:r>
      <w:r>
        <w:rPr>
          <w:rFonts w:ascii="Times New Roman" w:cs="Times New Roman" w:hAnsiTheme="minorEastAsia"/>
          <w:sz w:val="24"/>
          <w:szCs w:val="24"/>
        </w:rPr>
        <w:t>.</w:t>
      </w:r>
      <w:r>
        <w:rPr>
          <w:rFonts w:hint="eastAsia" w:ascii="Times New Roman" w:cs="Times New Roman" w:hAnsiTheme="minorEastAsia"/>
          <w:sz w:val="24"/>
          <w:szCs w:val="24"/>
        </w:rPr>
        <w:t>-Mazz</w:t>
      </w:r>
      <w:r>
        <w:rPr>
          <w:rFonts w:ascii="Times New Roman" w:cs="Times New Roman" w:hAnsiTheme="minorEastAsia"/>
          <w:sz w:val="24"/>
          <w:szCs w:val="24"/>
        </w:rPr>
        <w:t>.</w:t>
      </w:r>
      <w:commentRangeEnd w:id="0"/>
      <w:r>
        <w:rPr>
          <w:rStyle w:val="9"/>
        </w:rPr>
        <w:commentReference w:id="0"/>
      </w:r>
      <w:r>
        <w:rPr>
          <w:rFonts w:hint="eastAsia" w:ascii="Times New Roman" w:cs="Times New Roman" w:hAnsiTheme="minorEastAsia"/>
          <w:sz w:val="24"/>
          <w:szCs w:val="24"/>
        </w:rPr>
        <w:t>的干燥全株。</w:t>
      </w:r>
    </w:p>
    <w:p>
      <w:pPr>
        <w:spacing w:line="580" w:lineRule="exact"/>
        <w:ind w:firstLine="482" w:firstLineChars="200"/>
        <w:rPr>
          <w:rFonts w:ascii="Times New Roman" w:cs="Times New Roman" w:hAnsiTheme="minorEastAsia"/>
          <w:sz w:val="24"/>
          <w:szCs w:val="24"/>
        </w:rPr>
      </w:pPr>
      <w:r>
        <w:rPr>
          <w:rFonts w:ascii="Times New Roman" w:hAnsi="黑体" w:eastAsia="黑体" w:cs="Times New Roman"/>
          <w:b/>
          <w:bCs/>
          <w:sz w:val="24"/>
          <w:szCs w:val="24"/>
        </w:rPr>
        <w:t>【炮制】</w:t>
      </w:r>
      <w:r>
        <w:rPr>
          <w:rFonts w:hint="eastAsia" w:ascii="Times New Roman" w:cs="Times New Roman" w:hAnsiTheme="minorEastAsia"/>
          <w:sz w:val="24"/>
          <w:szCs w:val="24"/>
        </w:rPr>
        <w:t xml:space="preserve"> </w:t>
      </w:r>
      <w:r>
        <w:rPr>
          <w:rFonts w:ascii="Times New Roman" w:cs="Times New Roman" w:hAnsiTheme="minorEastAsia"/>
          <w:sz w:val="24"/>
          <w:szCs w:val="24"/>
        </w:rPr>
        <w:t>净</w:t>
      </w:r>
      <w:r>
        <w:rPr>
          <w:rFonts w:hint="eastAsia" w:ascii="Times New Roman" w:cs="Times New Roman" w:hAnsiTheme="minorEastAsia"/>
          <w:sz w:val="24"/>
          <w:szCs w:val="24"/>
        </w:rPr>
        <w:t>制</w:t>
      </w:r>
      <w:r>
        <w:rPr>
          <w:rFonts w:ascii="Times New Roman" w:cs="Times New Roman" w:hAnsiTheme="minorEastAsia"/>
          <w:sz w:val="24"/>
          <w:szCs w:val="24"/>
        </w:rPr>
        <w:t>，切段，干燥。</w:t>
      </w:r>
    </w:p>
    <w:p>
      <w:pPr>
        <w:widowControl/>
        <w:spacing w:line="580" w:lineRule="exact"/>
        <w:ind w:firstLine="482" w:firstLineChars="200"/>
        <w:jc w:val="left"/>
        <w:rPr>
          <w:rFonts w:ascii="Times New Roman" w:cs="Times New Roman" w:hAnsiTheme="minorEastAsia"/>
          <w:sz w:val="24"/>
          <w:szCs w:val="24"/>
        </w:rPr>
      </w:pPr>
      <w:r>
        <w:rPr>
          <w:rFonts w:ascii="Times New Roman" w:hAnsi="黑体" w:eastAsia="黑体" w:cs="Times New Roman"/>
          <w:b/>
          <w:bCs/>
          <w:sz w:val="24"/>
          <w:szCs w:val="24"/>
        </w:rPr>
        <w:t>【性状】</w:t>
      </w:r>
      <w:r>
        <w:rPr>
          <w:rFonts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hint="eastAsia" w:ascii="Times New Roman" w:cs="Times New Roman" w:hAnsiTheme="minorEastAsia"/>
          <w:sz w:val="24"/>
          <w:szCs w:val="24"/>
        </w:rPr>
        <w:t xml:space="preserve">本品为不规则的段。茎段呈圆柱形，直径0.5～3cm，表面灰棕色或棕褐色，粗糙，有的具多数气根和细纵纹；切面皮部与木部易剥离；质坚实，不易折断，断面皮部棕褐色，木部黄白色，有明显的放射性纹理及细孔；髓部小。叶多皱缩破碎，革质，二型，完整者展开后一种呈三角状卵型或三角状长圆形，另一种呈椭圆状卵形至椭圆状披针形，全缘，先端渐尖，基部楔形，侧脉和网脉两面均明显。气微，味微涩。     </w:t>
      </w:r>
    </w:p>
    <w:p>
      <w:pPr>
        <w:spacing w:line="580" w:lineRule="exact"/>
        <w:ind w:firstLine="482" w:firstLineChars="200"/>
        <w:rPr>
          <w:rFonts w:ascii="Times New Roman" w:cs="Times New Roman" w:hAnsiTheme="minorEastAsia"/>
          <w:sz w:val="24"/>
          <w:szCs w:val="24"/>
        </w:rPr>
      </w:pPr>
      <w:r>
        <w:rPr>
          <w:rFonts w:ascii="Times New Roman" w:hAnsi="黑体" w:eastAsia="黑体" w:cs="Times New Roman"/>
          <w:b/>
          <w:bCs/>
          <w:sz w:val="24"/>
          <w:szCs w:val="24"/>
        </w:rPr>
        <w:t>【鉴别】</w:t>
      </w:r>
      <w:r>
        <w:rPr>
          <w:rFonts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ascii="Times New Roman" w:cs="Times New Roman" w:hAnsiTheme="minorEastAsia"/>
          <w:sz w:val="24"/>
          <w:szCs w:val="24"/>
        </w:rPr>
        <w:t>（1）</w:t>
      </w:r>
      <w:r>
        <w:rPr>
          <w:rFonts w:hint="eastAsia" w:ascii="Times New Roman" w:cs="Times New Roman" w:hAnsiTheme="minorEastAsia"/>
          <w:sz w:val="24"/>
          <w:szCs w:val="24"/>
        </w:rPr>
        <w:t>粉末浅灰棕色。树脂道碎片众多，含淡黄色至棕色分泌物，直径18～130</w:t>
      </w:r>
      <w:r>
        <w:rPr>
          <w:rFonts w:ascii="Times New Roman" w:hAnsi="Times New Roman" w:cs="Times New Roman"/>
          <w:sz w:val="24"/>
          <w:szCs w:val="24"/>
        </w:rPr>
        <w:t>μm</w:t>
      </w:r>
      <w:r>
        <w:rPr>
          <w:rFonts w:hint="eastAsia" w:ascii="Times New Roman" w:cs="Times New Roman" w:hAnsiTheme="minorEastAsia"/>
          <w:sz w:val="24"/>
          <w:szCs w:val="24"/>
        </w:rPr>
        <w:t>。石细胞类圆形或不规则形，单个散在或数个相聚，壁厚，孔沟明显，直径26～57</w:t>
      </w:r>
      <w:r>
        <w:rPr>
          <w:rFonts w:ascii="Times New Roman" w:hAnsi="Times New Roman" w:cs="Times New Roman"/>
          <w:sz w:val="24"/>
          <w:szCs w:val="24"/>
        </w:rPr>
        <w:t>μm</w:t>
      </w:r>
      <w:r>
        <w:rPr>
          <w:rFonts w:hint="eastAsia" w:ascii="Times New Roman" w:cs="Times New Roman" w:hAnsiTheme="minorEastAsia"/>
          <w:sz w:val="24"/>
          <w:szCs w:val="24"/>
        </w:rPr>
        <w:t>。草酸钙簇晶众多，直径20～65</w:t>
      </w:r>
      <w:r>
        <w:rPr>
          <w:rFonts w:ascii="Times New Roman" w:hAnsi="Times New Roman" w:cs="Times New Roman"/>
          <w:sz w:val="24"/>
          <w:szCs w:val="24"/>
        </w:rPr>
        <w:t>μm</w:t>
      </w:r>
      <w:r>
        <w:rPr>
          <w:rFonts w:hint="eastAsia" w:ascii="Times New Roman" w:cs="Times New Roman" w:hAnsiTheme="minorEastAsia"/>
          <w:sz w:val="24"/>
          <w:szCs w:val="24"/>
        </w:rPr>
        <w:t>。纤维多成束，沟纹明显。叶表皮细胞垂周壁弯曲，气孔不定式，副卫细胞3～5个。网纹导管多见，直径14～30</w:t>
      </w:r>
      <w:r>
        <w:rPr>
          <w:rFonts w:ascii="Times New Roman" w:hAnsi="Times New Roman" w:cs="Times New Roman"/>
          <w:sz w:val="24"/>
          <w:szCs w:val="24"/>
        </w:rPr>
        <w:t>μm</w:t>
      </w:r>
      <w:r>
        <w:rPr>
          <w:rFonts w:hint="eastAsia" w:ascii="Times New Roman" w:cs="Times New Roman" w:hAnsiTheme="minorEastAsia"/>
          <w:sz w:val="24"/>
          <w:szCs w:val="24"/>
        </w:rPr>
        <w:t>，可见具缘纹孔导管。</w:t>
      </w:r>
    </w:p>
    <w:p>
      <w:pPr>
        <w:spacing w:line="580" w:lineRule="exact"/>
        <w:ind w:firstLine="480" w:firstLineChars="200"/>
        <w:rPr>
          <w:rFonts w:ascii="Times New Roman" w:cs="Times New Roman" w:hAnsiTheme="minorEastAsia"/>
          <w:sz w:val="24"/>
          <w:szCs w:val="24"/>
        </w:rPr>
      </w:pPr>
      <w:r>
        <w:rPr>
          <w:rFonts w:ascii="Times New Roman" w:cs="Times New Roman" w:hAnsiTheme="minorEastAsia"/>
          <w:sz w:val="24"/>
          <w:szCs w:val="24"/>
        </w:rPr>
        <w:t>（2）</w:t>
      </w:r>
      <w:r>
        <w:rPr>
          <w:rFonts w:hint="eastAsia" w:ascii="Times New Roman" w:cs="Times New Roman" w:hAnsiTheme="minorEastAsia"/>
          <w:sz w:val="24"/>
          <w:szCs w:val="24"/>
        </w:rPr>
        <w:t>取本品粉末</w:t>
      </w:r>
      <w:r>
        <w:rPr>
          <w:rFonts w:ascii="Times New Roman" w:cs="Times New Roman" w:hAnsiTheme="minorEastAsia"/>
          <w:sz w:val="24"/>
          <w:szCs w:val="24"/>
        </w:rPr>
        <w:t>2g</w:t>
      </w:r>
      <w:r>
        <w:rPr>
          <w:rFonts w:hint="eastAsia" w:ascii="Times New Roman" w:cs="Times New Roman" w:hAnsiTheme="minorEastAsia"/>
          <w:sz w:val="24"/>
          <w:szCs w:val="24"/>
        </w:rPr>
        <w:t>，加</w:t>
      </w:r>
      <w:r>
        <w:rPr>
          <w:rFonts w:ascii="Times New Roman" w:cs="Times New Roman" w:hAnsiTheme="minorEastAsia"/>
          <w:sz w:val="24"/>
          <w:szCs w:val="24"/>
        </w:rPr>
        <w:t>75%</w:t>
      </w:r>
      <w:r>
        <w:rPr>
          <w:rFonts w:hint="eastAsia" w:ascii="Times New Roman" w:cs="Times New Roman" w:hAnsiTheme="minorEastAsia"/>
          <w:sz w:val="24"/>
          <w:szCs w:val="24"/>
        </w:rPr>
        <w:t>甲醇</w:t>
      </w:r>
      <w:r>
        <w:rPr>
          <w:rFonts w:ascii="Times New Roman" w:cs="Times New Roman" w:hAnsiTheme="minorEastAsia"/>
          <w:sz w:val="24"/>
          <w:szCs w:val="24"/>
        </w:rPr>
        <w:t>50ml</w:t>
      </w:r>
      <w:r>
        <w:rPr>
          <w:rFonts w:hint="eastAsia" w:ascii="Times New Roman" w:cs="Times New Roman" w:hAnsiTheme="minorEastAsia"/>
          <w:sz w:val="24"/>
          <w:szCs w:val="24"/>
        </w:rPr>
        <w:t>，超声处理</w:t>
      </w:r>
      <w:r>
        <w:rPr>
          <w:rFonts w:ascii="Times New Roman" w:cs="Times New Roman" w:hAnsiTheme="minorEastAsia"/>
          <w:sz w:val="24"/>
          <w:szCs w:val="24"/>
        </w:rPr>
        <w:t>30</w:t>
      </w:r>
      <w:r>
        <w:rPr>
          <w:rFonts w:hint="eastAsia" w:ascii="Times New Roman" w:cs="Times New Roman" w:hAnsiTheme="minorEastAsia"/>
          <w:sz w:val="24"/>
          <w:szCs w:val="24"/>
        </w:rPr>
        <w:t>分钟，滤过，滤液蒸至无醇味，加水</w:t>
      </w:r>
      <w:r>
        <w:rPr>
          <w:rFonts w:ascii="Times New Roman" w:cs="Times New Roman" w:hAnsiTheme="minorEastAsia"/>
          <w:sz w:val="24"/>
          <w:szCs w:val="24"/>
        </w:rPr>
        <w:t>40ml</w:t>
      </w:r>
      <w:r>
        <w:rPr>
          <w:rFonts w:hint="eastAsia" w:ascii="Times New Roman" w:cs="Times New Roman" w:hAnsiTheme="minorEastAsia"/>
          <w:sz w:val="24"/>
          <w:szCs w:val="24"/>
        </w:rPr>
        <w:t>、盐酸</w:t>
      </w:r>
      <w:r>
        <w:rPr>
          <w:rFonts w:ascii="Times New Roman" w:cs="Times New Roman" w:hAnsiTheme="minorEastAsia"/>
          <w:sz w:val="24"/>
          <w:szCs w:val="24"/>
        </w:rPr>
        <w:t>5ml</w:t>
      </w:r>
      <w:r>
        <w:rPr>
          <w:rFonts w:hint="eastAsia" w:ascii="Times New Roman" w:cs="Times New Roman" w:hAnsiTheme="minorEastAsia"/>
          <w:sz w:val="24"/>
          <w:szCs w:val="24"/>
        </w:rPr>
        <w:t>，加热回流</w:t>
      </w:r>
      <w:r>
        <w:rPr>
          <w:rFonts w:ascii="Times New Roman" w:cs="Times New Roman" w:hAnsiTheme="minorEastAsia"/>
          <w:sz w:val="24"/>
          <w:szCs w:val="24"/>
        </w:rPr>
        <w:t>1</w:t>
      </w:r>
      <w:r>
        <w:rPr>
          <w:rFonts w:hint="eastAsia" w:ascii="Times New Roman" w:cs="Times New Roman" w:hAnsiTheme="minorEastAsia"/>
          <w:sz w:val="24"/>
          <w:szCs w:val="24"/>
        </w:rPr>
        <w:t>小时，放冷，转移至分液漏斗中，用三氯甲烷振摇提取</w:t>
      </w:r>
      <w:r>
        <w:rPr>
          <w:rFonts w:ascii="Times New Roman" w:cs="Times New Roman" w:hAnsiTheme="minorEastAsia"/>
          <w:sz w:val="24"/>
          <w:szCs w:val="24"/>
        </w:rPr>
        <w:t>2</w:t>
      </w:r>
      <w:r>
        <w:rPr>
          <w:rFonts w:hint="eastAsia" w:ascii="Times New Roman" w:cs="Times New Roman" w:hAnsiTheme="minorEastAsia"/>
          <w:sz w:val="24"/>
          <w:szCs w:val="24"/>
        </w:rPr>
        <w:t>次，每次</w:t>
      </w:r>
      <w:r>
        <w:rPr>
          <w:rFonts w:ascii="Times New Roman" w:cs="Times New Roman" w:hAnsiTheme="minorEastAsia"/>
          <w:sz w:val="24"/>
          <w:szCs w:val="24"/>
        </w:rPr>
        <w:t>15ml</w:t>
      </w:r>
      <w:r>
        <w:rPr>
          <w:rFonts w:hint="eastAsia" w:ascii="Times New Roman" w:cs="Times New Roman" w:hAnsiTheme="minorEastAsia"/>
          <w:sz w:val="24"/>
          <w:szCs w:val="24"/>
        </w:rPr>
        <w:t>，合并提取液，蒸干，残渣加甲醇</w:t>
      </w:r>
      <w:r>
        <w:rPr>
          <w:rFonts w:ascii="Times New Roman" w:cs="Times New Roman" w:hAnsiTheme="minorEastAsia"/>
          <w:sz w:val="24"/>
          <w:szCs w:val="24"/>
        </w:rPr>
        <w:t>1ml</w:t>
      </w:r>
      <w:r>
        <w:rPr>
          <w:rFonts w:hint="eastAsia" w:ascii="Times New Roman" w:cs="Times New Roman" w:hAnsiTheme="minorEastAsia"/>
          <w:sz w:val="24"/>
          <w:szCs w:val="24"/>
        </w:rPr>
        <w:t>使溶解，作为供试品溶液。再取齐墩果酸对照品、常春藤皂苷元对照品，加甲醇制成每</w:t>
      </w:r>
      <w:r>
        <w:rPr>
          <w:rFonts w:ascii="Times New Roman" w:cs="Times New Roman" w:hAnsiTheme="minorEastAsia"/>
          <w:sz w:val="24"/>
          <w:szCs w:val="24"/>
        </w:rPr>
        <w:t>1ml</w:t>
      </w:r>
      <w:r>
        <w:rPr>
          <w:rFonts w:hint="eastAsia" w:ascii="Times New Roman" w:cs="Times New Roman" w:hAnsiTheme="minorEastAsia"/>
          <w:sz w:val="24"/>
          <w:szCs w:val="24"/>
        </w:rPr>
        <w:t>各含</w:t>
      </w:r>
      <w:r>
        <w:rPr>
          <w:rFonts w:ascii="Times New Roman" w:cs="Times New Roman" w:hAnsiTheme="minorEastAsia"/>
          <w:sz w:val="24"/>
          <w:szCs w:val="24"/>
        </w:rPr>
        <w:t>1mg</w:t>
      </w:r>
      <w:r>
        <w:rPr>
          <w:rFonts w:hint="eastAsia" w:ascii="Times New Roman" w:cs="Times New Roman" w:hAnsiTheme="minorEastAsia"/>
          <w:sz w:val="24"/>
          <w:szCs w:val="24"/>
        </w:rPr>
        <w:t>的溶液，作为对照品溶液。照薄层色谱法（中国药典</w:t>
      </w:r>
      <w:r>
        <w:rPr>
          <w:rFonts w:ascii="Times New Roman" w:cs="Times New Roman" w:hAnsiTheme="minorEastAsia"/>
          <w:sz w:val="24"/>
          <w:szCs w:val="24"/>
        </w:rPr>
        <w:t>2020</w:t>
      </w:r>
      <w:r>
        <w:rPr>
          <w:rFonts w:hint="eastAsia" w:ascii="Times New Roman" w:cs="Times New Roman" w:hAnsiTheme="minorEastAsia"/>
          <w:sz w:val="24"/>
          <w:szCs w:val="24"/>
        </w:rPr>
        <w:t>年版通则</w:t>
      </w:r>
      <w:r>
        <w:rPr>
          <w:rFonts w:ascii="Times New Roman" w:cs="Times New Roman" w:hAnsiTheme="minorEastAsia"/>
          <w:sz w:val="24"/>
          <w:szCs w:val="24"/>
        </w:rPr>
        <w:t>0502</w:t>
      </w:r>
      <w:r>
        <w:rPr>
          <w:rFonts w:hint="eastAsia" w:ascii="Times New Roman" w:cs="Times New Roman" w:hAnsiTheme="minorEastAsia"/>
          <w:sz w:val="24"/>
          <w:szCs w:val="24"/>
        </w:rPr>
        <w:t>）试验，吸取供试品溶液</w:t>
      </w:r>
      <w:r>
        <w:rPr>
          <w:rFonts w:ascii="Times New Roman" w:cs="Times New Roman" w:hAnsiTheme="minorEastAsia"/>
          <w:sz w:val="24"/>
          <w:szCs w:val="24"/>
        </w:rPr>
        <w:t>2~5μl</w:t>
      </w:r>
      <w:r>
        <w:rPr>
          <w:rFonts w:hint="eastAsia" w:ascii="Times New Roman" w:cs="Times New Roman" w:hAnsiTheme="minorEastAsia"/>
          <w:sz w:val="24"/>
          <w:szCs w:val="24"/>
        </w:rPr>
        <w:t>、对照品溶液</w:t>
      </w:r>
      <w:r>
        <w:rPr>
          <w:rFonts w:ascii="Times New Roman" w:cs="Times New Roman" w:hAnsiTheme="minorEastAsia"/>
          <w:sz w:val="24"/>
          <w:szCs w:val="24"/>
        </w:rPr>
        <w:t>5μ</w:t>
      </w:r>
      <w:r>
        <w:rPr>
          <w:rFonts w:hint="eastAsia" w:ascii="Times New Roman" w:cs="Times New Roman" w:hAnsiTheme="minorEastAsia"/>
          <w:sz w:val="24"/>
          <w:szCs w:val="24"/>
        </w:rPr>
        <w:t>l，分别点于同一硅胶</w:t>
      </w:r>
      <w:r>
        <w:rPr>
          <w:rFonts w:ascii="Times New Roman" w:cs="Times New Roman" w:hAnsiTheme="minorEastAsia"/>
          <w:sz w:val="24"/>
          <w:szCs w:val="24"/>
        </w:rPr>
        <w:t>G</w:t>
      </w:r>
      <w:r>
        <w:rPr>
          <w:rFonts w:hint="eastAsia" w:ascii="Times New Roman" w:cs="Times New Roman" w:hAnsiTheme="minorEastAsia"/>
          <w:sz w:val="24"/>
          <w:szCs w:val="24"/>
        </w:rPr>
        <w:t>薄层板上，以正已烷</w:t>
      </w:r>
      <w:r>
        <w:rPr>
          <w:rFonts w:ascii="Times New Roman" w:cs="Times New Roman" w:hAnsiTheme="minorEastAsia"/>
          <w:sz w:val="24"/>
          <w:szCs w:val="24"/>
        </w:rPr>
        <w:t>-</w:t>
      </w:r>
      <w:r>
        <w:rPr>
          <w:rFonts w:hint="eastAsia" w:ascii="Times New Roman" w:cs="Times New Roman" w:hAnsiTheme="minorEastAsia"/>
          <w:sz w:val="24"/>
          <w:szCs w:val="24"/>
        </w:rPr>
        <w:t>乙酸乙酯</w:t>
      </w:r>
      <w:r>
        <w:rPr>
          <w:rFonts w:ascii="Times New Roman" w:cs="Times New Roman" w:hAnsiTheme="minorEastAsia"/>
          <w:sz w:val="24"/>
          <w:szCs w:val="24"/>
        </w:rPr>
        <w:t>-</w:t>
      </w:r>
      <w:r>
        <w:rPr>
          <w:rFonts w:hint="eastAsia" w:ascii="Times New Roman" w:cs="Times New Roman" w:hAnsiTheme="minorEastAsia"/>
          <w:sz w:val="24"/>
          <w:szCs w:val="24"/>
        </w:rPr>
        <w:t>冰乙酸（</w:t>
      </w:r>
      <w:r>
        <w:rPr>
          <w:rFonts w:ascii="Times New Roman" w:cs="Times New Roman" w:hAnsiTheme="minorEastAsia"/>
          <w:sz w:val="24"/>
          <w:szCs w:val="24"/>
        </w:rPr>
        <w:t>12:8:0.5</w:t>
      </w:r>
      <w:r>
        <w:rPr>
          <w:rFonts w:hint="eastAsia" w:ascii="Times New Roman" w:cs="Times New Roman" w:hAnsiTheme="minorEastAsia"/>
          <w:sz w:val="24"/>
          <w:szCs w:val="24"/>
        </w:rPr>
        <w:t>）为展开剂，展开，取出，晾干，喷以</w:t>
      </w:r>
      <w:r>
        <w:rPr>
          <w:rFonts w:ascii="Times New Roman" w:cs="Times New Roman" w:hAnsiTheme="minorEastAsia"/>
          <w:sz w:val="24"/>
          <w:szCs w:val="24"/>
        </w:rPr>
        <w:t>10%</w:t>
      </w:r>
      <w:r>
        <w:rPr>
          <w:rFonts w:hint="eastAsia" w:ascii="Times New Roman" w:cs="Times New Roman" w:hAnsiTheme="minorEastAsia"/>
          <w:sz w:val="24"/>
          <w:szCs w:val="24"/>
        </w:rPr>
        <w:t>硫酸乙醇溶液，在</w:t>
      </w:r>
      <w:r>
        <w:rPr>
          <w:rFonts w:ascii="Times New Roman" w:cs="Times New Roman" w:hAnsiTheme="minorEastAsia"/>
          <w:sz w:val="24"/>
          <w:szCs w:val="24"/>
        </w:rPr>
        <w:t>105</w:t>
      </w:r>
      <w:r>
        <w:rPr>
          <w:rFonts w:hint="eastAsia" w:ascii="Times New Roman" w:cs="Times New Roman" w:hAnsiTheme="minorEastAsia"/>
          <w:sz w:val="24"/>
          <w:szCs w:val="24"/>
        </w:rPr>
        <w:t>℃加热至斑点显色清晰。供试品色谱中，在与对照品色谱相应的位置上，显相同颜色的斑点。</w:t>
      </w:r>
    </w:p>
    <w:p>
      <w:pPr>
        <w:spacing w:line="580" w:lineRule="exact"/>
        <w:ind w:firstLine="482" w:firstLineChars="200"/>
        <w:rPr>
          <w:rFonts w:ascii="Times New Roman" w:cs="Times New Roman" w:hAnsiTheme="minorEastAsia"/>
          <w:sz w:val="24"/>
          <w:szCs w:val="24"/>
        </w:rPr>
      </w:pPr>
      <w:r>
        <w:rPr>
          <w:rFonts w:hint="eastAsia" w:ascii="Times New Roman" w:hAnsi="黑体" w:eastAsia="黑体" w:cs="Times New Roman"/>
          <w:b/>
          <w:bCs/>
          <w:sz w:val="24"/>
          <w:szCs w:val="24"/>
        </w:rPr>
        <w:t>【检查】 水分</w:t>
      </w:r>
      <w:r>
        <w:rPr>
          <w:rFonts w:hint="eastAsia" w:ascii="Times New Roman" w:cs="Times New Roman" w:hAnsiTheme="minorEastAsia"/>
          <w:b/>
          <w:sz w:val="24"/>
          <w:szCs w:val="24"/>
        </w:rPr>
        <w:t xml:space="preserve"> </w:t>
      </w:r>
      <w:r>
        <w:rPr>
          <w:rFonts w:hint="eastAsia" w:ascii="Times New Roman" w:cs="Times New Roman" w:hAnsiTheme="minorEastAsia"/>
          <w:sz w:val="24"/>
          <w:szCs w:val="24"/>
        </w:rPr>
        <w:t>不得过15.0%。</w:t>
      </w:r>
      <w:r>
        <w:rPr>
          <w:rFonts w:ascii="Times New Roman" w:cs="Times New Roman" w:hAnsiTheme="minorEastAsia"/>
          <w:sz w:val="24"/>
          <w:szCs w:val="24"/>
        </w:rPr>
        <w:t>（中国药典</w:t>
      </w:r>
      <w:r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cs="Times New Roman" w:hAnsiTheme="minorEastAsia"/>
          <w:sz w:val="24"/>
          <w:szCs w:val="24"/>
        </w:rPr>
        <w:t>年版通则</w:t>
      </w:r>
      <w:r>
        <w:rPr>
          <w:rFonts w:ascii="Times New Roman" w:hAnsi="Times New Roman" w:cs="Times New Roman"/>
          <w:sz w:val="24"/>
          <w:szCs w:val="24"/>
        </w:rPr>
        <w:t xml:space="preserve">0832 </w:t>
      </w:r>
      <w:r>
        <w:rPr>
          <w:rFonts w:ascii="Times New Roman" w:cs="Times New Roman" w:hAnsiTheme="minorEastAsia"/>
          <w:sz w:val="24"/>
          <w:szCs w:val="24"/>
        </w:rPr>
        <w:t>第二法）</w:t>
      </w:r>
    </w:p>
    <w:p>
      <w:pPr>
        <w:spacing w:line="580" w:lineRule="exact"/>
        <w:ind w:firstLine="602" w:firstLineChars="250"/>
        <w:rPr>
          <w:rFonts w:ascii="Times New Roman" w:cs="Times New Roman" w:hAnsiTheme="minorEastAsia"/>
          <w:b/>
          <w:szCs w:val="21"/>
        </w:rPr>
      </w:pPr>
      <w:r>
        <w:rPr>
          <w:rFonts w:hint="eastAsia" w:ascii="Times New Roman" w:hAnsi="黑体" w:eastAsia="黑体" w:cs="Times New Roman"/>
          <w:b/>
          <w:bCs/>
          <w:sz w:val="24"/>
          <w:szCs w:val="24"/>
        </w:rPr>
        <w:t>总灰分</w:t>
      </w:r>
      <w:r>
        <w:rPr>
          <w:rFonts w:hint="eastAsia" w:ascii="Times New Roman" w:cs="Times New Roman" w:hAnsiTheme="minorEastAsia"/>
          <w:sz w:val="24"/>
          <w:szCs w:val="24"/>
        </w:rPr>
        <w:t xml:space="preserve"> 不得过12.0%。（</w:t>
      </w:r>
      <w:r>
        <w:rPr>
          <w:rFonts w:ascii="Times New Roman" w:cs="Times New Roman" w:hAnsiTheme="minorEastAsia"/>
          <w:sz w:val="24"/>
          <w:szCs w:val="24"/>
        </w:rPr>
        <w:t>中国药典2020年版通则</w:t>
      </w:r>
      <w:r>
        <w:rPr>
          <w:rFonts w:hint="eastAsia" w:ascii="Times New Roman" w:cs="Times New Roman" w:hAnsiTheme="minorEastAsia"/>
          <w:sz w:val="24"/>
          <w:szCs w:val="24"/>
        </w:rPr>
        <w:t>2302）</w:t>
      </w:r>
    </w:p>
    <w:p>
      <w:pPr>
        <w:spacing w:line="580" w:lineRule="exact"/>
        <w:ind w:firstLine="602" w:firstLineChars="250"/>
        <w:rPr>
          <w:rFonts w:ascii="Times New Roman" w:cs="Times New Roman" w:hAnsiTheme="minorEastAsia"/>
          <w:b/>
          <w:szCs w:val="21"/>
        </w:rPr>
      </w:pPr>
      <w:r>
        <w:rPr>
          <w:rFonts w:hint="eastAsia" w:ascii="Times New Roman" w:hAnsi="黑体" w:eastAsia="黑体" w:cs="Times New Roman"/>
          <w:b/>
          <w:bCs/>
          <w:sz w:val="24"/>
          <w:szCs w:val="24"/>
        </w:rPr>
        <w:t>酸不溶性灰分</w:t>
      </w:r>
      <w:r>
        <w:rPr>
          <w:rFonts w:hint="eastAsia" w:ascii="Times New Roman" w:cs="Times New Roman" w:hAnsiTheme="minorEastAsia"/>
          <w:b/>
          <w:sz w:val="24"/>
          <w:szCs w:val="24"/>
        </w:rPr>
        <w:t xml:space="preserve"> </w:t>
      </w:r>
      <w:r>
        <w:rPr>
          <w:rFonts w:hint="eastAsia" w:ascii="Times New Roman" w:cs="Times New Roman" w:hAnsiTheme="minorEastAsia"/>
          <w:sz w:val="24"/>
          <w:szCs w:val="24"/>
        </w:rPr>
        <w:t>不得过2.0%。（</w:t>
      </w:r>
      <w:r>
        <w:rPr>
          <w:rFonts w:ascii="Times New Roman" w:cs="Times New Roman" w:hAnsiTheme="minorEastAsia"/>
          <w:sz w:val="24"/>
          <w:szCs w:val="24"/>
        </w:rPr>
        <w:t>中国药典2020年版通则</w:t>
      </w:r>
      <w:r>
        <w:rPr>
          <w:rFonts w:hint="eastAsia" w:ascii="Times New Roman" w:cs="Times New Roman" w:hAnsiTheme="minorEastAsia"/>
          <w:sz w:val="24"/>
          <w:szCs w:val="24"/>
        </w:rPr>
        <w:t>2302）</w:t>
      </w:r>
    </w:p>
    <w:p>
      <w:pPr>
        <w:spacing w:line="580" w:lineRule="exact"/>
        <w:ind w:firstLine="482" w:firstLineChars="200"/>
        <w:rPr>
          <w:rFonts w:ascii="Times New Roman" w:cs="Times New Roman" w:hAnsiTheme="minorEastAsia"/>
          <w:sz w:val="24"/>
          <w:szCs w:val="24"/>
        </w:rPr>
      </w:pPr>
      <w:r>
        <w:rPr>
          <w:rFonts w:ascii="Times New Roman" w:hAnsi="黑体" w:eastAsia="黑体" w:cs="Times New Roman"/>
          <w:b/>
          <w:bCs/>
          <w:sz w:val="24"/>
          <w:szCs w:val="24"/>
        </w:rPr>
        <w:t>【性味与归经】</w:t>
      </w:r>
      <w:r>
        <w:rPr>
          <w:rFonts w:hint="eastAsia" w:ascii="Times New Roman" w:hAnsi="黑体" w:eastAsia="黑体" w:cs="Times New Roman"/>
          <w:sz w:val="24"/>
          <w:szCs w:val="24"/>
        </w:rPr>
        <w:t xml:space="preserve"> </w:t>
      </w:r>
      <w:r>
        <w:rPr>
          <w:rFonts w:hint="eastAsia" w:ascii="Times New Roman" w:cs="Times New Roman" w:hAnsiTheme="minorEastAsia"/>
          <w:sz w:val="24"/>
          <w:szCs w:val="24"/>
        </w:rPr>
        <w:t>苦、涩，平。归肝、脾、肺经。</w:t>
      </w:r>
    </w:p>
    <w:p>
      <w:pPr>
        <w:spacing w:line="580" w:lineRule="exact"/>
        <w:ind w:firstLine="482" w:firstLineChars="200"/>
        <w:rPr>
          <w:rFonts w:ascii="Times New Roman" w:cs="Times New Roman" w:hAnsiTheme="minorEastAsia"/>
          <w:sz w:val="24"/>
          <w:szCs w:val="24"/>
        </w:rPr>
      </w:pPr>
      <w:r>
        <w:rPr>
          <w:rFonts w:hint="eastAsia" w:ascii="Times New Roman" w:hAnsi="黑体" w:eastAsia="黑体" w:cs="Times New Roman"/>
          <w:b/>
          <w:bCs/>
          <w:sz w:val="24"/>
          <w:szCs w:val="24"/>
        </w:rPr>
        <w:t>【功能与主治】</w:t>
      </w:r>
      <w:r>
        <w:rPr>
          <w:rFonts w:hint="eastAsia" w:ascii="Times New Roman" w:cs="Times New Roman" w:hAnsiTheme="minorEastAsia"/>
          <w:sz w:val="24"/>
          <w:szCs w:val="24"/>
        </w:rPr>
        <w:t xml:space="preserve"> 舒筋散风，清热解毒，消肿止痛，强腰膝。用于感冒咳嗽，胃脘痛，风湿痹痛，跌打损伤。</w:t>
      </w:r>
    </w:p>
    <w:p>
      <w:pPr>
        <w:spacing w:line="580" w:lineRule="exact"/>
        <w:ind w:firstLine="482" w:firstLineChars="200"/>
        <w:rPr>
          <w:rFonts w:ascii="Times New Roman" w:cs="Times New Roman" w:hAnsiTheme="minorEastAsia"/>
          <w:sz w:val="24"/>
          <w:szCs w:val="24"/>
        </w:rPr>
      </w:pPr>
      <w:r>
        <w:rPr>
          <w:rFonts w:hint="eastAsia" w:ascii="Times New Roman" w:hAnsi="黑体" w:eastAsia="黑体" w:cs="Times New Roman"/>
          <w:b/>
          <w:bCs/>
          <w:sz w:val="24"/>
          <w:szCs w:val="24"/>
        </w:rPr>
        <w:t>【用法与用量】</w:t>
      </w:r>
      <w:r>
        <w:rPr>
          <w:rFonts w:ascii="Times New Roman" w:cs="Times New Roman" w:hAnsiTheme="minorEastAsia"/>
          <w:sz w:val="24"/>
          <w:szCs w:val="24"/>
        </w:rPr>
        <w:t xml:space="preserve"> 15</w:t>
      </w:r>
      <w:r>
        <w:rPr>
          <w:rFonts w:hint="eastAsia" w:ascii="Times New Roman" w:cs="Times New Roman" w:hAnsiTheme="minorEastAsia"/>
          <w:sz w:val="24"/>
          <w:szCs w:val="24"/>
        </w:rPr>
        <w:t>～</w:t>
      </w:r>
      <w:r>
        <w:rPr>
          <w:rFonts w:ascii="Times New Roman" w:cs="Times New Roman" w:hAnsiTheme="minorEastAsia"/>
          <w:sz w:val="24"/>
          <w:szCs w:val="24"/>
        </w:rPr>
        <w:t>30g</w:t>
      </w:r>
      <w:r>
        <w:rPr>
          <w:rFonts w:hint="eastAsia" w:ascii="Times New Roman" w:cs="Times New Roman" w:hAnsiTheme="minorEastAsia"/>
          <w:sz w:val="24"/>
          <w:szCs w:val="24"/>
        </w:rPr>
        <w:t>。外用适量。</w:t>
      </w:r>
    </w:p>
    <w:p>
      <w:pPr>
        <w:spacing w:line="580" w:lineRule="exact"/>
        <w:ind w:firstLine="482" w:firstLineChars="200"/>
        <w:rPr>
          <w:rFonts w:ascii="Times New Roman" w:cs="Times New Roman" w:hAnsiTheme="minorEastAsia"/>
          <w:sz w:val="24"/>
          <w:szCs w:val="24"/>
        </w:rPr>
      </w:pPr>
      <w:r>
        <w:rPr>
          <w:rFonts w:ascii="Times New Roman" w:hAnsi="黑体" w:eastAsia="黑体" w:cs="Times New Roman"/>
          <w:b/>
          <w:bCs/>
          <w:sz w:val="24"/>
          <w:szCs w:val="24"/>
        </w:rPr>
        <w:t>【贮藏】</w:t>
      </w:r>
      <w:r>
        <w:rPr>
          <w:rFonts w:hint="eastAsia" w:ascii="Times New Roman" w:hAnsi="黑体" w:eastAsia="黑体" w:cs="Times New Roman"/>
          <w:b/>
          <w:sz w:val="24"/>
          <w:szCs w:val="24"/>
        </w:rPr>
        <w:t xml:space="preserve"> </w:t>
      </w:r>
      <w:r>
        <w:rPr>
          <w:rFonts w:ascii="Times New Roman" w:cs="Times New Roman" w:hAnsiTheme="minorEastAsia"/>
          <w:sz w:val="24"/>
          <w:szCs w:val="24"/>
        </w:rPr>
        <w:t>置</w:t>
      </w:r>
      <w:r>
        <w:rPr>
          <w:rFonts w:hint="eastAsia" w:ascii="Times New Roman" w:cs="Times New Roman" w:hAnsiTheme="minorEastAsia"/>
          <w:sz w:val="24"/>
          <w:szCs w:val="24"/>
        </w:rPr>
        <w:t>通风</w:t>
      </w:r>
      <w:r>
        <w:rPr>
          <w:rFonts w:ascii="Times New Roman" w:cs="Times New Roman" w:hAnsiTheme="minorEastAsia"/>
          <w:sz w:val="24"/>
          <w:szCs w:val="24"/>
        </w:rPr>
        <w:t>干燥处</w:t>
      </w:r>
      <w:r>
        <w:rPr>
          <w:rFonts w:hint="eastAsia" w:ascii="Times New Roman" w:cs="Times New Roman" w:hAnsiTheme="minorEastAsia"/>
          <w:sz w:val="24"/>
          <w:szCs w:val="24"/>
        </w:rPr>
        <w:t>，防蛀</w:t>
      </w:r>
      <w:r>
        <w:rPr>
          <w:rFonts w:ascii="Times New Roman" w:cs="Times New Roman" w:hAnsiTheme="minorEastAsia"/>
          <w:sz w:val="24"/>
          <w:szCs w:val="24"/>
        </w:rPr>
        <w:t>。</w:t>
      </w:r>
    </w:p>
    <w:p>
      <w:pPr>
        <w:spacing w:line="580" w:lineRule="exact"/>
        <w:ind w:firstLine="482" w:firstLineChars="200"/>
        <w:jc w:val="left"/>
        <w:rPr>
          <w:rFonts w:ascii="Times New Roman" w:cs="Times New Roman" w:hAnsiTheme="minorEastAsia"/>
          <w:sz w:val="24"/>
          <w:szCs w:val="24"/>
        </w:rPr>
      </w:pPr>
      <w:r>
        <w:rPr>
          <w:rFonts w:hint="eastAsia" w:ascii="Times New Roman" w:hAnsi="黑体" w:eastAsia="黑体" w:cs="Times New Roman"/>
          <w:b/>
          <w:bCs/>
          <w:sz w:val="24"/>
          <w:szCs w:val="24"/>
        </w:rPr>
        <w:t xml:space="preserve">【药材标准】 </w:t>
      </w:r>
      <w:r>
        <w:rPr>
          <w:rFonts w:hint="eastAsia" w:ascii="Times New Roman" w:cs="Times New Roman" w:hAnsiTheme="minorEastAsia"/>
          <w:sz w:val="24"/>
          <w:szCs w:val="24"/>
        </w:rPr>
        <w:t>《广西壮族自治区瑶药材质量标准》第一卷</w:t>
      </w:r>
      <w:bookmarkStart w:id="0" w:name="_GoBack"/>
      <w:bookmarkEnd w:id="0"/>
      <w:r>
        <w:rPr>
          <w:rFonts w:hint="eastAsia" w:ascii="Times New Roman" w:cs="Times New Roman" w:hAnsiTheme="minorEastAsia"/>
          <w:sz w:val="24"/>
          <w:szCs w:val="24"/>
        </w:rPr>
        <w:t>。</w:t>
      </w:r>
    </w:p>
    <w:p>
      <w:pPr>
        <w:spacing w:line="580" w:lineRule="exact"/>
        <w:ind w:firstLine="369" w:firstLineChars="176"/>
      </w:pPr>
    </w:p>
    <w:sectPr>
      <w:footerReference r:id="rId5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xb21cn" w:date="2023-06-01T09:59:00Z" w:initials="xb21cn">
    <w:p w14:paraId="4B2F323E">
      <w:pPr>
        <w:pStyle w:val="2"/>
      </w:pPr>
      <w:r>
        <w:rPr>
          <w:rFonts w:hint="eastAsia"/>
        </w:rPr>
        <w:t>拉丁异名，与瑶药一卷一致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4B2F323E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sz w:val="24"/>
        <w:szCs w:val="24"/>
      </w:rPr>
    </w:pPr>
    <w:r>
      <w:rPr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13970</wp:posOffset>
              </wp:positionV>
              <wp:extent cx="5881370" cy="8890"/>
              <wp:effectExtent l="0" t="0" r="24130" b="29210"/>
              <wp:wrapNone/>
              <wp:docPr id="21" name="直接连接符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81370" cy="889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45pt;margin-top:1.1pt;height:0.7pt;width:463.1pt;z-index:251659264;mso-width-relative:page;mso-height-relative:page;" filled="f" stroked="t" coordsize="21600,21600" o:gfxdata="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NJakrWAAAA&#10;BQEAAA8AAAAAAAAAAQAgAAAAIgAAAGRycy9kb3ducmV2LnhtbFBLAQIUABQAAAAIAIdO4kDsbKid&#10;5gEAALcDAAAOAAAAAAAAAAEAIAAAACUBAABkcnMvZTJvRG9jLnhtbFBLBQYAAAAABgAGAFkBAAB9&#10;BQAAAAA=&#10;">
              <v:fill on="f" focussize="0,0"/>
              <v:stroke weight="1.5pt" color="#000000" miterlimit="8" joinstyle="miter"/>
              <v:imagedata o:title=""/>
              <o:lock v:ext="edit" aspectratio="f"/>
            </v:line>
          </w:pict>
        </mc:Fallback>
      </mc:AlternateContent>
    </w:r>
  </w:p>
  <w:p>
    <w:pPr>
      <w:pStyle w:val="4"/>
      <w:rPr>
        <w:sz w:val="24"/>
        <w:szCs w:val="24"/>
      </w:rPr>
    </w:pPr>
    <w:r>
      <w:rPr>
        <w:rFonts w:hint="eastAsia"/>
        <w:sz w:val="24"/>
        <w:szCs w:val="24"/>
      </w:rPr>
      <w:t>起草单位：广西壮族自治区中医药研究院               桂林毕生药业有限公司</w:t>
    </w:r>
  </w:p>
  <w:p>
    <w:pPr>
      <w:pStyle w:val="4"/>
      <w:rPr>
        <w:sz w:val="24"/>
        <w:szCs w:val="24"/>
      </w:rPr>
    </w:pPr>
    <w:r>
      <w:rPr>
        <w:rFonts w:hint="eastAsia"/>
        <w:sz w:val="24"/>
        <w:szCs w:val="24"/>
      </w:rPr>
      <w:t xml:space="preserve">          广西仙茱中药科技有限公司                 广西宝正药业有限公司</w:t>
    </w:r>
  </w:p>
  <w:p>
    <w:pPr>
      <w:pStyle w:val="4"/>
      <w:rPr>
        <w:sz w:val="24"/>
        <w:szCs w:val="24"/>
      </w:rPr>
    </w:pPr>
    <w:r>
      <w:rPr>
        <w:rFonts w:hint="eastAsia"/>
        <w:sz w:val="24"/>
        <w:szCs w:val="24"/>
      </w:rPr>
      <w:t>复核单位：广西壮族自治区食品药品检验所</w:t>
    </w:r>
  </w:p>
  <w:p>
    <w:pPr>
      <w:pStyle w:val="4"/>
    </w:pPr>
  </w:p>
</w:ft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xb21cn">
    <w15:presenceInfo w15:providerId="None" w15:userId="xb21c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ThhZTY5MDJlNTIyNjlmZDFmYjQyYjhhMGM1ZTQifQ=="/>
  </w:docVars>
  <w:rsids>
    <w:rsidRoot w:val="00A340FF"/>
    <w:rsid w:val="000227CD"/>
    <w:rsid w:val="000A3104"/>
    <w:rsid w:val="000E36B8"/>
    <w:rsid w:val="000E46E1"/>
    <w:rsid w:val="00136223"/>
    <w:rsid w:val="001A1A5A"/>
    <w:rsid w:val="001F5036"/>
    <w:rsid w:val="001F5FDE"/>
    <w:rsid w:val="002525CB"/>
    <w:rsid w:val="0025266B"/>
    <w:rsid w:val="002A03CB"/>
    <w:rsid w:val="002A4A35"/>
    <w:rsid w:val="002A5CA9"/>
    <w:rsid w:val="002B5920"/>
    <w:rsid w:val="002B6EFC"/>
    <w:rsid w:val="002C0006"/>
    <w:rsid w:val="002E312D"/>
    <w:rsid w:val="00445D15"/>
    <w:rsid w:val="00487A20"/>
    <w:rsid w:val="004A1A85"/>
    <w:rsid w:val="004E6FFD"/>
    <w:rsid w:val="005055F2"/>
    <w:rsid w:val="00532586"/>
    <w:rsid w:val="005528C6"/>
    <w:rsid w:val="005844C8"/>
    <w:rsid w:val="00600BF0"/>
    <w:rsid w:val="0067696A"/>
    <w:rsid w:val="00686094"/>
    <w:rsid w:val="006D3FE7"/>
    <w:rsid w:val="006E6AB7"/>
    <w:rsid w:val="00702045"/>
    <w:rsid w:val="00705500"/>
    <w:rsid w:val="007557A1"/>
    <w:rsid w:val="007829FA"/>
    <w:rsid w:val="00784447"/>
    <w:rsid w:val="007B7B21"/>
    <w:rsid w:val="008163A6"/>
    <w:rsid w:val="00876B81"/>
    <w:rsid w:val="00884106"/>
    <w:rsid w:val="00887E11"/>
    <w:rsid w:val="008D0369"/>
    <w:rsid w:val="00916379"/>
    <w:rsid w:val="00957907"/>
    <w:rsid w:val="00976D4C"/>
    <w:rsid w:val="00A315C3"/>
    <w:rsid w:val="00A340FF"/>
    <w:rsid w:val="00A65B75"/>
    <w:rsid w:val="00AC4461"/>
    <w:rsid w:val="00AD17CC"/>
    <w:rsid w:val="00AD3DE1"/>
    <w:rsid w:val="00AE7CF5"/>
    <w:rsid w:val="00AF406E"/>
    <w:rsid w:val="00B17669"/>
    <w:rsid w:val="00B5331D"/>
    <w:rsid w:val="00B57F86"/>
    <w:rsid w:val="00C01634"/>
    <w:rsid w:val="00C53DCA"/>
    <w:rsid w:val="00C70EEE"/>
    <w:rsid w:val="00C779CA"/>
    <w:rsid w:val="00CE39F1"/>
    <w:rsid w:val="00D1308C"/>
    <w:rsid w:val="00D56F4D"/>
    <w:rsid w:val="00D70D50"/>
    <w:rsid w:val="00D935A6"/>
    <w:rsid w:val="00DD704C"/>
    <w:rsid w:val="00DE1E50"/>
    <w:rsid w:val="00DF652D"/>
    <w:rsid w:val="00E85281"/>
    <w:rsid w:val="00E92A77"/>
    <w:rsid w:val="00EB59DB"/>
    <w:rsid w:val="00EB76A9"/>
    <w:rsid w:val="00EF7586"/>
    <w:rsid w:val="00F2324F"/>
    <w:rsid w:val="00F66311"/>
    <w:rsid w:val="00FA6D14"/>
    <w:rsid w:val="00FB685A"/>
    <w:rsid w:val="00FF07A5"/>
    <w:rsid w:val="199533D3"/>
    <w:rsid w:val="1A1E578F"/>
    <w:rsid w:val="294B4897"/>
    <w:rsid w:val="2D7B4EEB"/>
    <w:rsid w:val="2E18337C"/>
    <w:rsid w:val="39063F4D"/>
    <w:rsid w:val="4A2835A4"/>
    <w:rsid w:val="50986DEF"/>
    <w:rsid w:val="51175924"/>
    <w:rsid w:val="54E53BDB"/>
    <w:rsid w:val="55306681"/>
    <w:rsid w:val="66944B49"/>
    <w:rsid w:val="7131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4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3"/>
    <w:semiHidden/>
    <w:unhideWhenUsed/>
    <w:qFormat/>
    <w:uiPriority w:val="99"/>
    <w:rPr>
      <w:b/>
      <w:bCs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character" w:customStyle="1" w:styleId="10">
    <w:name w:val="页眉 Char"/>
    <w:basedOn w:val="8"/>
    <w:link w:val="5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sz w:val="18"/>
      <w:szCs w:val="18"/>
    </w:rPr>
  </w:style>
  <w:style w:type="character" w:customStyle="1" w:styleId="12">
    <w:name w:val="批注文字 Char"/>
    <w:basedOn w:val="8"/>
    <w:link w:val="2"/>
    <w:semiHidden/>
    <w:qFormat/>
    <w:uiPriority w:val="99"/>
    <w:rPr>
      <w:kern w:val="2"/>
      <w:sz w:val="21"/>
      <w:szCs w:val="22"/>
    </w:rPr>
  </w:style>
  <w:style w:type="character" w:customStyle="1" w:styleId="13">
    <w:name w:val="批注主题 Char"/>
    <w:basedOn w:val="12"/>
    <w:link w:val="6"/>
    <w:semiHidden/>
    <w:qFormat/>
    <w:uiPriority w:val="99"/>
    <w:rPr>
      <w:b/>
      <w:bCs/>
      <w:kern w:val="2"/>
      <w:sz w:val="21"/>
      <w:szCs w:val="22"/>
    </w:rPr>
  </w:style>
  <w:style w:type="character" w:customStyle="1" w:styleId="14">
    <w:name w:val="批注框文本 Char"/>
    <w:basedOn w:val="8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0" Type="http://schemas.microsoft.com/office/2011/relationships/people" Target="peop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4489EF5-84A0-418A-8A68-C9B2AAAF552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857</Words>
  <Characters>1010</Characters>
  <Lines>7</Lines>
  <Paragraphs>2</Paragraphs>
  <TotalTime>10</TotalTime>
  <ScaleCrop>false</ScaleCrop>
  <LinksUpToDate>false</LinksUpToDate>
  <CharactersWithSpaces>1035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2023-02-21T01:50:00Z</dcterms:created>
  <dc:creator>张意彬</dc:creator>
  <cp:lastModifiedBy>黄玉华</cp:lastModifiedBy>
  <cp:lastPrinted>2023-02-21T01:55:00Z</cp:lastPrinted>
  <dcterms:modified xsi:type="dcterms:W3CDTF">2023-06-05T09:25:52Z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2EA83764C3044A3793D9D519A264D229_13</vt:lpwstr>
  </property>
  <property fmtid="{D5CDD505-2E9C-101B-9397-08002B2CF9AE}" pid="4" name="commondata">
    <vt:lpwstr>eyJoZGlkIjoiMjJjY2FiODZkMzFiMTBhODEyZDI2OGY4OGNhMDk1NmYifQ==</vt:lpwstr>
  </property>
</Properties>
</file>