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0"/>
        <w:snapToGrid w:val="0"/>
        <w:spacing w:line="360" w:lineRule="auto"/>
        <w:jc w:val="center"/>
        <w:rPr>
          <w:rFonts w:eastAsia="黑体"/>
          <w:b/>
          <w:kern w:val="2"/>
          <w:sz w:val="36"/>
          <w:szCs w:val="36"/>
        </w:rPr>
      </w:pPr>
      <w:r>
        <w:rPr>
          <w:rFonts w:eastAsia="黑体"/>
          <w:b/>
          <w:kern w:val="2"/>
          <w:sz w:val="36"/>
          <w:szCs w:val="36"/>
        </w:rPr>
        <w:t>地 菍</w:t>
      </w:r>
    </w:p>
    <w:p>
      <w:pPr>
        <w:pStyle w:val="10"/>
        <w:snapToGrid w:val="0"/>
        <w:spacing w:line="360" w:lineRule="auto"/>
        <w:jc w:val="center"/>
        <w:rPr>
          <w:rFonts w:eastAsia="黑体"/>
          <w:kern w:val="2"/>
          <w:sz w:val="24"/>
          <w:szCs w:val="24"/>
        </w:rPr>
      </w:pPr>
      <w:r>
        <w:rPr>
          <w:rFonts w:eastAsia="黑体"/>
          <w:kern w:val="2"/>
          <w:sz w:val="24"/>
          <w:szCs w:val="24"/>
        </w:rPr>
        <w:t>Dinie</w:t>
      </w:r>
    </w:p>
    <w:p>
      <w:pPr>
        <w:pStyle w:val="10"/>
        <w:snapToGrid w:val="0"/>
        <w:spacing w:line="360" w:lineRule="auto"/>
        <w:jc w:val="center"/>
        <w:rPr>
          <w:rFonts w:eastAsia="黑体"/>
          <w:b/>
          <w:kern w:val="2"/>
          <w:sz w:val="28"/>
          <w:szCs w:val="28"/>
        </w:rPr>
      </w:pPr>
      <w:r>
        <w:rPr>
          <w:rFonts w:eastAsia="黑体"/>
          <w:b/>
          <w:kern w:val="2"/>
          <w:sz w:val="28"/>
          <w:szCs w:val="28"/>
        </w:rPr>
        <w:t>MELASTOMAE DODECANDRI HERBA</w:t>
      </w:r>
    </w:p>
    <w:p>
      <w:pPr>
        <w:pStyle w:val="10"/>
        <w:snapToGrid w:val="0"/>
        <w:spacing w:line="580" w:lineRule="exact"/>
        <w:ind w:firstLine="723" w:firstLineChars="200"/>
        <w:jc w:val="center"/>
        <w:rPr>
          <w:rFonts w:eastAsia="黑体"/>
          <w:b/>
          <w:kern w:val="2"/>
          <w:sz w:val="36"/>
          <w:szCs w:val="36"/>
        </w:rPr>
      </w:pPr>
    </w:p>
    <w:p>
      <w:pPr>
        <w:pStyle w:val="10"/>
        <w:snapToGrid w:val="0"/>
        <w:spacing w:line="580" w:lineRule="exact"/>
        <w:ind w:firstLine="482" w:firstLineChars="200"/>
        <w:jc w:val="left"/>
        <w:rPr>
          <w:sz w:val="24"/>
          <w:szCs w:val="24"/>
        </w:rPr>
      </w:pPr>
      <w:r>
        <w:rPr>
          <w:rFonts w:eastAsia="黑体"/>
          <w:b/>
          <w:bCs/>
          <w:kern w:val="2"/>
          <w:sz w:val="24"/>
          <w:szCs w:val="24"/>
        </w:rPr>
        <w:t xml:space="preserve">【来源】 </w:t>
      </w:r>
      <w:r>
        <w:rPr>
          <w:rFonts w:hint="eastAsia" w:eastAsia="黑体"/>
          <w:b/>
          <w:bCs/>
          <w:kern w:val="2"/>
          <w:sz w:val="24"/>
          <w:szCs w:val="24"/>
        </w:rPr>
        <w:t xml:space="preserve"> </w:t>
      </w:r>
      <w:r>
        <w:rPr>
          <w:kern w:val="2"/>
          <w:sz w:val="24"/>
          <w:szCs w:val="24"/>
          <w:lang w:val="zh-CN"/>
        </w:rPr>
        <w:t>本品为</w:t>
      </w:r>
      <w:r>
        <w:rPr>
          <w:kern w:val="2"/>
          <w:sz w:val="24"/>
          <w:szCs w:val="24"/>
        </w:rPr>
        <w:t>野牡丹科野牡丹属地菍</w:t>
      </w:r>
      <w:r>
        <w:rPr>
          <w:i/>
          <w:iCs/>
          <w:sz w:val="24"/>
          <w:szCs w:val="24"/>
        </w:rPr>
        <w:t xml:space="preserve">Melastoma dodecandrum </w:t>
      </w:r>
      <w:r>
        <w:rPr>
          <w:sz w:val="24"/>
          <w:szCs w:val="24"/>
        </w:rPr>
        <w:t>Lour. 的干燥全草。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【炮制】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zh-CN"/>
        </w:rPr>
        <w:t>除去杂质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  <w:lang w:val="zh-CN"/>
        </w:rPr>
        <w:t>切段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  <w:lang w:val="zh-CN"/>
        </w:rPr>
        <w:t>干燥。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【性状】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zh-CN"/>
        </w:rPr>
        <w:t>本品茎呈方柱形，纤细，多对生分枝，表面灰褐色或棕褐色，有纵条纹，节处有须根。叶灰绿色，质脆，多皱缩破碎；完整叶片展平后呈卵状或椭圆形，长1～4cm，宽0.8～3cm，叶缘和叶背脉上可见糙伏毛。偶见棕褐色花，萼筒5裂，花瓣5。气微，味微酸涩。</w:t>
      </w:r>
    </w:p>
    <w:p>
      <w:pPr>
        <w:spacing w:line="580" w:lineRule="exact"/>
        <w:ind w:right="25" w:rightChars="12"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>【鉴别】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</w:rPr>
        <w:t>（1）</w:t>
      </w:r>
      <w:r>
        <w:rPr>
          <w:rFonts w:ascii="Times New Roman" w:hAnsi="Times New Roman" w:cs="Times New Roman"/>
          <w:sz w:val="24"/>
          <w:szCs w:val="24"/>
        </w:rPr>
        <w:t>粉末灰绿色或灰黄色。纤维成束或散在，直径12～17μm，紫色或黄色。草酸钙簇晶可见，直径8～35μm。非腺毛多见。木栓细胞棕黄色。主要为螺纹导管和网纹导管，直径10～19μm。色素块红棕色，方形或不规则形。石细胞单个或多个成群，壁薄，孔沟明显，直径30～150μm。</w:t>
      </w:r>
    </w:p>
    <w:p>
      <w:pPr>
        <w:spacing w:line="580" w:lineRule="exact"/>
        <w:ind w:firstLine="480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</w:rPr>
        <w:t>（2）取本品粉末2 g，加入80%乙醇溶液20 ml，超声处理30分钟，滤过，滤液蒸干，残渣加水10 ml使溶解，加石油醚（60～90℃）振摇提取2次，每次10 ml</w:t>
      </w:r>
      <w:r>
        <w:rPr>
          <w:rFonts w:ascii="Times New Roman" w:hAnsi="Times New Roman" w:cs="Times New Roman"/>
          <w:sz w:val="24"/>
          <w:szCs w:val="24"/>
        </w:rPr>
        <w:t>，合并石油醚液，蒸干</w:t>
      </w:r>
      <w:r>
        <w:rPr>
          <w:rFonts w:ascii="Times New Roman" w:hAnsi="Times New Roman" w:cs="Times New Roman"/>
          <w:sz w:val="24"/>
        </w:rPr>
        <w:t>，残渣加甲醇1ml使溶解，作为供试品溶液。另取地菍对照药材2 g，同法制成对照药材溶液。照薄层色谱法（中国药典2020年版通则0502）试验，吸取上述两种溶液各5～10 μl，分别点于同一硅胶G薄层板上，以石油醚（30～60℃）-乙酸乙酯 （10∶1） 为展开剂，展开，取出，晾干，</w:t>
      </w:r>
      <w:r>
        <w:rPr>
          <w:rFonts w:ascii="Times New Roman" w:hAnsi="Times New Roman" w:cs="Times New Roman"/>
          <w:sz w:val="24"/>
          <w:szCs w:val="24"/>
        </w:rPr>
        <w:t>置紫外光灯（365nm）下检视</w:t>
      </w:r>
      <w:r>
        <w:rPr>
          <w:rFonts w:ascii="Times New Roman" w:hAnsi="Times New Roman" w:cs="Times New Roman"/>
          <w:sz w:val="24"/>
        </w:rPr>
        <w:t>。供试品色谱中，在与对照药材色谱相应的位置上，显相同颜色的荧光斑点。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 xml:space="preserve">【检查】 </w:t>
      </w:r>
      <w:r>
        <w:rPr>
          <w:rFonts w:ascii="Times New Roman" w:hAnsi="Times New Roman" w:eastAsia="黑体" w:cs="Times New Roman"/>
          <w:b/>
          <w:bCs/>
          <w:sz w:val="24"/>
          <w:szCs w:val="24"/>
        </w:rPr>
        <w:t>水分</w:t>
      </w:r>
      <w:r>
        <w:rPr>
          <w:rFonts w:ascii="Times New Roman" w:hAnsi="Times New Roman" w:cs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不得过14.0%。（中国药典2020年版通则0832第二法） 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>总灰分</w:t>
      </w:r>
      <w:r>
        <w:rPr>
          <w:rFonts w:ascii="Times New Roman" w:hAnsi="Times New Roman" w:eastAsia="黑体" w:cs="Times New Roman"/>
          <w:sz w:val="24"/>
          <w:szCs w:val="24"/>
          <w:lang w:val="zh-CN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zh-CN"/>
        </w:rPr>
        <w:t>不得过</w:t>
      </w:r>
      <w:r>
        <w:rPr>
          <w:rFonts w:ascii="Times New Roman" w:hAnsi="Times New Roman" w:cs="Times New Roman"/>
          <w:sz w:val="24"/>
          <w:szCs w:val="24"/>
        </w:rPr>
        <w:t>14</w:t>
      </w:r>
      <w:r>
        <w:rPr>
          <w:rFonts w:ascii="Times New Roman" w:hAnsi="Times New Roman" w:cs="Times New Roman"/>
          <w:sz w:val="24"/>
          <w:szCs w:val="24"/>
          <w:lang w:val="zh-CN"/>
        </w:rPr>
        <w:t>.0</w:t>
      </w:r>
      <w:r>
        <w:rPr>
          <w:rFonts w:ascii="Times New Roman" w:hAnsi="Times New Roman" w:cs="Times New Roman"/>
          <w:sz w:val="24"/>
          <w:szCs w:val="24"/>
        </w:rPr>
        <w:t>%。</w:t>
      </w:r>
      <w:r>
        <w:rPr>
          <w:rFonts w:ascii="Times New Roman" w:hAnsi="Times New Roman" w:cs="Times New Roman"/>
          <w:sz w:val="24"/>
          <w:szCs w:val="24"/>
          <w:lang w:val="zh-CN"/>
        </w:rPr>
        <w:t>（中国药典2020年版通则2302）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 xml:space="preserve">酸不溶性灰分 </w:t>
      </w:r>
      <w:r>
        <w:rPr>
          <w:rFonts w:ascii="Times New Roman" w:hAnsi="Times New Roman" w:cs="Times New Roman"/>
          <w:sz w:val="24"/>
          <w:szCs w:val="24"/>
          <w:lang w:val="zh-CN"/>
        </w:rPr>
        <w:t>不得过5.</w:t>
      </w:r>
      <w:r>
        <w:rPr>
          <w:rFonts w:ascii="Times New Roman" w:hAnsi="Times New Roman" w:cs="Times New Roman"/>
          <w:sz w:val="24"/>
          <w:szCs w:val="24"/>
        </w:rPr>
        <w:t>0%。</w:t>
      </w:r>
      <w:r>
        <w:rPr>
          <w:rFonts w:ascii="Times New Roman" w:hAnsi="Times New Roman" w:cs="Times New Roman"/>
          <w:sz w:val="24"/>
          <w:szCs w:val="24"/>
          <w:lang w:val="zh-CN"/>
        </w:rPr>
        <w:t>（中国药典2020年版通则2302）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color w:val="FF0000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 xml:space="preserve">【浸出物】 </w:t>
      </w:r>
      <w:r>
        <w:rPr>
          <w:rFonts w:ascii="Times New Roman" w:hAnsi="Times New Roman" w:cs="Times New Roman"/>
          <w:sz w:val="24"/>
          <w:szCs w:val="24"/>
          <w:lang w:val="zh-CN"/>
        </w:rPr>
        <w:t>照醇溶性浸出物测定法（中国药典2020版通则2201）项下的冷浸法测定，用乙醇做溶剂，不得少于9.0</w:t>
      </w:r>
      <w:r>
        <w:rPr>
          <w:rFonts w:ascii="Times New Roman" w:hAnsi="Times New Roman" w:cs="Times New Roman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  <w:lang w:val="zh-CN"/>
        </w:rPr>
        <w:t>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  <w:lang w:val="zh-CN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>【性味与归经】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zh-CN"/>
        </w:rPr>
        <w:t>甘、微涩，凉。归肝、肾、脾、肺经。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  <w:lang w:val="zh-CN"/>
        </w:rPr>
        <w:t>【功能与主治】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活血止血</w:t>
      </w:r>
      <w:r>
        <w:rPr>
          <w:rFonts w:hint="eastAsia" w:ascii="Times New Roman" w:hAnsi="Times New Roman" w:cs="Times New Roman"/>
          <w:sz w:val="24"/>
          <w:szCs w:val="24"/>
        </w:rPr>
        <w:t>，</w:t>
      </w:r>
      <w:r>
        <w:rPr>
          <w:rFonts w:ascii="Times New Roman" w:hAnsi="Times New Roman" w:cs="Times New Roman"/>
          <w:sz w:val="24"/>
          <w:szCs w:val="24"/>
        </w:rPr>
        <w:t>清热解毒。用于呕血，便血，痢疾，痛经，产后腹痛，血崩，带下，痈肿，疔疮，风火齿痛，咽喉肿痛。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【用法与用量】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/>
          <w:sz w:val="24"/>
        </w:rPr>
        <w:t>～15</w:t>
      </w:r>
      <w:r>
        <w:rPr>
          <w:rFonts w:ascii="Times New Roman" w:hAnsi="Times New Roman" w:cs="Times New Roman"/>
          <w:sz w:val="24"/>
          <w:szCs w:val="24"/>
        </w:rPr>
        <w:t xml:space="preserve"> g。外用适量。</w:t>
      </w:r>
    </w:p>
    <w:p>
      <w:pPr>
        <w:spacing w:line="580" w:lineRule="exact"/>
        <w:ind w:firstLine="482" w:firstLineChars="200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 xml:space="preserve">【贮藏】 </w:t>
      </w:r>
      <w:r>
        <w:rPr>
          <w:rFonts w:ascii="Times New Roman" w:hAnsi="Times New Roman" w:cs="Times New Roman"/>
          <w:sz w:val="24"/>
          <w:szCs w:val="24"/>
        </w:rPr>
        <w:t>置干燥处。</w:t>
      </w:r>
    </w:p>
    <w:p>
      <w:pPr>
        <w:spacing w:line="360" w:lineRule="auto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【药材标准】</w:t>
      </w:r>
      <w:r>
        <w:rPr>
          <w:rFonts w:ascii="Times New Roman" w:hAnsi="Times New Roman" w:cs="Times New Roman"/>
          <w:sz w:val="24"/>
          <w:szCs w:val="24"/>
        </w:rPr>
        <w:t xml:space="preserve"> 《广西壮族自治区壮药质量标准》第三卷、《广西壮族自治区瑶药材质量标准》第二卷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。</w:t>
      </w:r>
    </w:p>
    <w:sectPr>
      <w:footerReference r:id="rId4" w:type="first"/>
      <w:headerReference r:id="rId3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943600" cy="320040"/>
              <wp:effectExtent l="0" t="0" r="0" b="3810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sdtEndPr>
                            <w:sdtContent>
                              <w:p>
                                <w:pPr>
                                  <w:jc w:val="right"/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37" o:spid="_x0000_s1026" o:spt="203" style="position:absolute;left:0pt;margin-left:70.9pt;margin-top:727.75pt;height:25.2pt;width:468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pZBo/X&#10;AAAABwEAAA8AAAAAAAAAAQAgAAAAIgAAAGRycy9kb3ducmV2LnhtbFBLAQIUABQAAAAIAIdO4kAC&#10;trqRPgMAAJYIAAAOAAAAAAAAAAEAIAAAACYBAABkcnMvZTJvRG9jLnhtbFBLBQYAAAAABgAGAFkB&#10;AADWBgAAAAA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>起草单位：广西壮族自治区食品药品检验所    桂林毕生药业有限公司</w:t>
    </w:r>
  </w:p>
  <w:p>
    <w:pPr>
      <w:ind w:firstLine="1050" w:firstLineChars="500"/>
      <w:jc w:val="left"/>
    </w:pPr>
    <w:r>
      <w:rPr>
        <w:rFonts w:hint="eastAsia"/>
      </w:rPr>
      <w:t xml:space="preserve">广西仙茱中药科技有限公司     </w:t>
    </w:r>
    <w:r>
      <w:rPr>
        <w:rFonts w:hint="eastAsia"/>
        <w:lang w:val="en-US" w:eastAsia="zh-CN"/>
      </w:rPr>
      <w:t xml:space="preserve">  </w:t>
    </w:r>
    <w:r>
      <w:rPr>
        <w:rFonts w:hint="eastAsia"/>
      </w:rPr>
      <w:t xml:space="preserve">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280FBB"/>
    <w:rsid w:val="00053F31"/>
    <w:rsid w:val="00060B05"/>
    <w:rsid w:val="00086583"/>
    <w:rsid w:val="000A08D5"/>
    <w:rsid w:val="000D303B"/>
    <w:rsid w:val="000E6109"/>
    <w:rsid w:val="0010037A"/>
    <w:rsid w:val="00100718"/>
    <w:rsid w:val="001143FB"/>
    <w:rsid w:val="001445BD"/>
    <w:rsid w:val="001606EF"/>
    <w:rsid w:val="00160B7A"/>
    <w:rsid w:val="00170B95"/>
    <w:rsid w:val="00172AE5"/>
    <w:rsid w:val="001A7EFC"/>
    <w:rsid w:val="001B2B7C"/>
    <w:rsid w:val="001C09AF"/>
    <w:rsid w:val="00227073"/>
    <w:rsid w:val="002570DE"/>
    <w:rsid w:val="00263C44"/>
    <w:rsid w:val="0026775B"/>
    <w:rsid w:val="00275CBB"/>
    <w:rsid w:val="00280FBB"/>
    <w:rsid w:val="002C25A2"/>
    <w:rsid w:val="002E10DB"/>
    <w:rsid w:val="003137E4"/>
    <w:rsid w:val="0035735B"/>
    <w:rsid w:val="00362D18"/>
    <w:rsid w:val="0036741B"/>
    <w:rsid w:val="00371EB5"/>
    <w:rsid w:val="003725DC"/>
    <w:rsid w:val="003727A0"/>
    <w:rsid w:val="00374C57"/>
    <w:rsid w:val="00374E22"/>
    <w:rsid w:val="003C559D"/>
    <w:rsid w:val="003F0EC5"/>
    <w:rsid w:val="003F128C"/>
    <w:rsid w:val="003F1906"/>
    <w:rsid w:val="003F3012"/>
    <w:rsid w:val="0040102B"/>
    <w:rsid w:val="00401D20"/>
    <w:rsid w:val="00423459"/>
    <w:rsid w:val="00447FC0"/>
    <w:rsid w:val="00465778"/>
    <w:rsid w:val="00482EBD"/>
    <w:rsid w:val="00483C7E"/>
    <w:rsid w:val="00486E6A"/>
    <w:rsid w:val="004A66F4"/>
    <w:rsid w:val="004B34E4"/>
    <w:rsid w:val="004B4F1B"/>
    <w:rsid w:val="004B5CA5"/>
    <w:rsid w:val="004D3CCB"/>
    <w:rsid w:val="004D7F01"/>
    <w:rsid w:val="004E47E7"/>
    <w:rsid w:val="004E7D95"/>
    <w:rsid w:val="004F03EE"/>
    <w:rsid w:val="005040FC"/>
    <w:rsid w:val="0051473F"/>
    <w:rsid w:val="005172A6"/>
    <w:rsid w:val="0052550C"/>
    <w:rsid w:val="0052717F"/>
    <w:rsid w:val="005822DE"/>
    <w:rsid w:val="00593675"/>
    <w:rsid w:val="005B77EB"/>
    <w:rsid w:val="005C0742"/>
    <w:rsid w:val="005C57E9"/>
    <w:rsid w:val="00615E28"/>
    <w:rsid w:val="00643725"/>
    <w:rsid w:val="00644CE9"/>
    <w:rsid w:val="006478DD"/>
    <w:rsid w:val="0065309B"/>
    <w:rsid w:val="00683BE6"/>
    <w:rsid w:val="00691777"/>
    <w:rsid w:val="006A2D34"/>
    <w:rsid w:val="006B5A07"/>
    <w:rsid w:val="006D5A28"/>
    <w:rsid w:val="006E6B76"/>
    <w:rsid w:val="006F5415"/>
    <w:rsid w:val="00730164"/>
    <w:rsid w:val="00750726"/>
    <w:rsid w:val="007551DD"/>
    <w:rsid w:val="007748E6"/>
    <w:rsid w:val="00780E37"/>
    <w:rsid w:val="00790278"/>
    <w:rsid w:val="00790541"/>
    <w:rsid w:val="00796E61"/>
    <w:rsid w:val="007D02E3"/>
    <w:rsid w:val="008038BA"/>
    <w:rsid w:val="0081154C"/>
    <w:rsid w:val="00822281"/>
    <w:rsid w:val="00826F92"/>
    <w:rsid w:val="00852798"/>
    <w:rsid w:val="00853826"/>
    <w:rsid w:val="008548DF"/>
    <w:rsid w:val="008778E7"/>
    <w:rsid w:val="00882390"/>
    <w:rsid w:val="0088725C"/>
    <w:rsid w:val="00890005"/>
    <w:rsid w:val="008A0A72"/>
    <w:rsid w:val="008B7245"/>
    <w:rsid w:val="008C6292"/>
    <w:rsid w:val="008C74EF"/>
    <w:rsid w:val="008E7B4A"/>
    <w:rsid w:val="008F2F26"/>
    <w:rsid w:val="0090044C"/>
    <w:rsid w:val="00942BD0"/>
    <w:rsid w:val="009573F6"/>
    <w:rsid w:val="00962705"/>
    <w:rsid w:val="00965DDA"/>
    <w:rsid w:val="00975279"/>
    <w:rsid w:val="009B5B8D"/>
    <w:rsid w:val="009B79F9"/>
    <w:rsid w:val="009C5B4D"/>
    <w:rsid w:val="009D029D"/>
    <w:rsid w:val="009F1EF0"/>
    <w:rsid w:val="00A027C4"/>
    <w:rsid w:val="00A109CB"/>
    <w:rsid w:val="00A1129C"/>
    <w:rsid w:val="00A13390"/>
    <w:rsid w:val="00A13CC5"/>
    <w:rsid w:val="00A64A63"/>
    <w:rsid w:val="00A674F3"/>
    <w:rsid w:val="00A675E2"/>
    <w:rsid w:val="00A904A3"/>
    <w:rsid w:val="00A91FE3"/>
    <w:rsid w:val="00AB67ED"/>
    <w:rsid w:val="00AE1C87"/>
    <w:rsid w:val="00B03E0A"/>
    <w:rsid w:val="00B41F1C"/>
    <w:rsid w:val="00B673B2"/>
    <w:rsid w:val="00B8553B"/>
    <w:rsid w:val="00B96658"/>
    <w:rsid w:val="00BA4804"/>
    <w:rsid w:val="00BC5648"/>
    <w:rsid w:val="00BD6917"/>
    <w:rsid w:val="00BF4ABA"/>
    <w:rsid w:val="00C061DE"/>
    <w:rsid w:val="00C21C53"/>
    <w:rsid w:val="00C25610"/>
    <w:rsid w:val="00C321B5"/>
    <w:rsid w:val="00C34582"/>
    <w:rsid w:val="00C57433"/>
    <w:rsid w:val="00C578D5"/>
    <w:rsid w:val="00C7545E"/>
    <w:rsid w:val="00C86518"/>
    <w:rsid w:val="00CB0A48"/>
    <w:rsid w:val="00CB6A08"/>
    <w:rsid w:val="00CE1391"/>
    <w:rsid w:val="00CF4CC2"/>
    <w:rsid w:val="00CF6590"/>
    <w:rsid w:val="00D07950"/>
    <w:rsid w:val="00D10693"/>
    <w:rsid w:val="00D1650A"/>
    <w:rsid w:val="00D179CC"/>
    <w:rsid w:val="00D255B0"/>
    <w:rsid w:val="00D3292A"/>
    <w:rsid w:val="00D37C5F"/>
    <w:rsid w:val="00D441E5"/>
    <w:rsid w:val="00D5013C"/>
    <w:rsid w:val="00D51302"/>
    <w:rsid w:val="00D621A0"/>
    <w:rsid w:val="00D65CD6"/>
    <w:rsid w:val="00D73F48"/>
    <w:rsid w:val="00DA1482"/>
    <w:rsid w:val="00DA7F0A"/>
    <w:rsid w:val="00DD64DE"/>
    <w:rsid w:val="00E0017C"/>
    <w:rsid w:val="00E037D3"/>
    <w:rsid w:val="00E13BD8"/>
    <w:rsid w:val="00E27404"/>
    <w:rsid w:val="00E30924"/>
    <w:rsid w:val="00E3169F"/>
    <w:rsid w:val="00E45F65"/>
    <w:rsid w:val="00E521A8"/>
    <w:rsid w:val="00E52E3A"/>
    <w:rsid w:val="00E54D57"/>
    <w:rsid w:val="00E74C07"/>
    <w:rsid w:val="00E903E8"/>
    <w:rsid w:val="00E940EE"/>
    <w:rsid w:val="00EA6CE4"/>
    <w:rsid w:val="00EA6D82"/>
    <w:rsid w:val="00EB0E03"/>
    <w:rsid w:val="00EC0BAC"/>
    <w:rsid w:val="00EC575B"/>
    <w:rsid w:val="00ED4046"/>
    <w:rsid w:val="00EE020A"/>
    <w:rsid w:val="00EF3BAA"/>
    <w:rsid w:val="00EF5D5E"/>
    <w:rsid w:val="00F0587A"/>
    <w:rsid w:val="00F12A94"/>
    <w:rsid w:val="00F139AF"/>
    <w:rsid w:val="00F207F7"/>
    <w:rsid w:val="00F250C1"/>
    <w:rsid w:val="00F27843"/>
    <w:rsid w:val="00F333FD"/>
    <w:rsid w:val="00F37336"/>
    <w:rsid w:val="00F43FC0"/>
    <w:rsid w:val="00F47F40"/>
    <w:rsid w:val="00F47F53"/>
    <w:rsid w:val="00F53122"/>
    <w:rsid w:val="00F7611D"/>
    <w:rsid w:val="00F9009F"/>
    <w:rsid w:val="00F90F90"/>
    <w:rsid w:val="00FA4EA8"/>
    <w:rsid w:val="00FA58ED"/>
    <w:rsid w:val="00FA78D2"/>
    <w:rsid w:val="00FB56C5"/>
    <w:rsid w:val="00FD725E"/>
    <w:rsid w:val="4106484E"/>
    <w:rsid w:val="45174CB8"/>
    <w:rsid w:val="50BF6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  <w:style w:type="paragraph" w:customStyle="1" w:styleId="10">
    <w:name w:val="p0"/>
    <w:basedOn w:val="1"/>
    <w:qFormat/>
    <w:uiPriority w:val="0"/>
    <w:pPr>
      <w:widowControl/>
    </w:pPr>
    <w:rPr>
      <w:rFonts w:ascii="Times New Roman" w:hAnsi="Times New Roman" w:eastAsia="宋体" w:cs="Times New Roman"/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810</Words>
  <Characters>948</Characters>
  <Lines>7</Lines>
  <Paragraphs>1</Paragraphs>
  <TotalTime>3</TotalTime>
  <ScaleCrop>false</ScaleCrop>
  <LinksUpToDate>false</LinksUpToDate>
  <CharactersWithSpaces>979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2023-02-06T01:54:00Z</dcterms:created>
  <dc:creator>李丽莉</dc:creator>
  <cp:lastModifiedBy>黄玉华</cp:lastModifiedBy>
  <cp:lastPrinted>2021-10-14T08:14:00Z</cp:lastPrinted>
  <dcterms:modified xsi:type="dcterms:W3CDTF">2023-06-05T09:27:30Z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81612CA9C2AD426385F335DE72165290_13</vt:lpwstr>
  </property>
</Properties>
</file>