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/>
          <w:b/>
          <w:sz w:val="44"/>
          <w:szCs w:val="44"/>
        </w:rPr>
      </w:pPr>
      <w:r>
        <w:rPr>
          <w:rFonts w:hint="eastAsia" w:ascii="黑体" w:hAnsi="黑体" w:eastAsia="黑体"/>
          <w:b/>
          <w:sz w:val="44"/>
          <w:szCs w:val="44"/>
        </w:rPr>
        <w:t>半枫荷</w:t>
      </w:r>
    </w:p>
    <w:p>
      <w:pPr>
        <w:jc w:val="center"/>
        <w:rPr>
          <w:rFonts w:ascii="黑体" w:hAnsi="黑体" w:eastAsia="黑体"/>
          <w:sz w:val="24"/>
          <w:szCs w:val="24"/>
        </w:rPr>
      </w:pPr>
      <w:r>
        <w:rPr>
          <w:rFonts w:ascii="黑体" w:hAnsi="黑体" w:eastAsia="黑体"/>
          <w:sz w:val="24"/>
          <w:szCs w:val="24"/>
        </w:rPr>
        <w:t>Banfenghe</w:t>
      </w:r>
    </w:p>
    <w:p>
      <w:pPr>
        <w:jc w:val="center"/>
        <w:rPr>
          <w:rFonts w:ascii="Times New Roman" w:hAnsi="Times New Roman" w:eastAsia="黑体" w:cs="Times New Roman"/>
          <w:b/>
          <w:sz w:val="28"/>
        </w:rPr>
      </w:pPr>
      <w:r>
        <w:rPr>
          <w:rFonts w:ascii="Times New Roman" w:hAnsi="Times New Roman" w:eastAsia="黑体" w:cs="Times New Roman"/>
          <w:b/>
          <w:sz w:val="28"/>
        </w:rPr>
        <w:t>SEMILIQUIDAMBARIS HERBA</w:t>
      </w:r>
    </w:p>
    <w:p>
      <w:pPr>
        <w:jc w:val="center"/>
        <w:rPr>
          <w:rFonts w:ascii="Times New Roman" w:hAnsi="Times New Roman" w:eastAsia="黑体" w:cs="Times New Roman"/>
          <w:b/>
          <w:sz w:val="28"/>
        </w:rPr>
      </w:pPr>
    </w:p>
    <w:p>
      <w:pPr>
        <w:spacing w:line="580" w:lineRule="exact"/>
        <w:ind w:firstLine="4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【来源</w:t>
      </w: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】</w:t>
      </w:r>
      <w:r>
        <w:rPr>
          <w:rFonts w:hint="eastAsia" w:ascii="Times New Roman" w:hAnsi="Times New Roman" w:eastAsia="黑体" w:cs="Times New Roman"/>
          <w:sz w:val="24"/>
          <w:szCs w:val="28"/>
        </w:rPr>
        <w:t xml:space="preserve">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本品为金缕梅科植物金缕半枫荷</w:t>
      </w:r>
      <w:r>
        <w:rPr>
          <w:rFonts w:hint="eastAsia" w:ascii="Times New Roman" w:hAnsi="Times New Roman" w:cs="Times New Roman"/>
          <w:i/>
          <w:color w:val="000000"/>
          <w:sz w:val="24"/>
          <w:szCs w:val="24"/>
        </w:rPr>
        <w:t xml:space="preserve">Semiliquidambar cathayensis </w:t>
      </w:r>
      <w:r>
        <w:rPr>
          <w:rFonts w:hint="eastAsia" w:ascii="Times New Roman" w:hAnsi="Times New Roman" w:cs="Times New Roman"/>
          <w:color w:val="000000"/>
          <w:sz w:val="24"/>
          <w:szCs w:val="24"/>
        </w:rPr>
        <w:t>H. T. Chang的干燥地上部分。</w:t>
      </w:r>
    </w:p>
    <w:p>
      <w:pPr>
        <w:spacing w:line="580" w:lineRule="exact"/>
        <w:ind w:firstLine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【炮制】</w:t>
      </w:r>
      <w:r>
        <w:rPr>
          <w:rFonts w:hint="eastAsia" w:ascii="Times New Roman" w:hAnsi="Times New Roman" w:eastAsia="黑体" w:cs="Times New Roman"/>
          <w:b/>
          <w:sz w:val="24"/>
          <w:szCs w:val="28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除去杂质，洗润，切片或段，干燥。</w:t>
      </w:r>
    </w:p>
    <w:p>
      <w:pPr>
        <w:spacing w:line="580" w:lineRule="exact"/>
        <w:ind w:firstLine="45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【性状】</w:t>
      </w:r>
      <w:r>
        <w:rPr>
          <w:rFonts w:hint="eastAsia" w:cs="Times New Roman" w:asciiTheme="minorEastAsia" w:hAnsiTheme="minorEastAsia"/>
          <w:sz w:val="24"/>
          <w:szCs w:val="24"/>
        </w:rPr>
        <w:t xml:space="preserve"> 本品</w:t>
      </w:r>
      <w:r>
        <w:rPr>
          <w:rFonts w:ascii="Times New Roman" w:hAnsi="Times New Roman"/>
          <w:sz w:val="24"/>
          <w:szCs w:val="24"/>
        </w:rPr>
        <w:t>呈不规则厚片</w:t>
      </w:r>
      <w:r>
        <w:rPr>
          <w:rFonts w:hint="eastAsia" w:ascii="Times New Roman" w:hAnsi="Times New Roman"/>
          <w:sz w:val="24"/>
          <w:szCs w:val="24"/>
        </w:rPr>
        <w:t>或段</w:t>
      </w:r>
      <w:r>
        <w:rPr>
          <w:rFonts w:ascii="Times New Roman" w:hAnsi="Times New Roman"/>
          <w:sz w:val="24"/>
          <w:szCs w:val="24"/>
        </w:rPr>
        <w:t>。表皮灰绿色或灰褐色，常有灰白色斑块；嫩枝表面灰褐色至暗紫褐色，具不规则裂纹和点状皮孔。质坚硬，</w:t>
      </w:r>
      <w:r>
        <w:rPr>
          <w:rFonts w:hint="eastAsia" w:ascii="Times New Roman" w:hAnsi="Times New Roman"/>
          <w:sz w:val="24"/>
          <w:szCs w:val="24"/>
        </w:rPr>
        <w:t>切</w:t>
      </w:r>
      <w:r>
        <w:rPr>
          <w:rFonts w:ascii="Times New Roman" w:hAnsi="Times New Roman"/>
          <w:sz w:val="24"/>
          <w:szCs w:val="24"/>
        </w:rPr>
        <w:t>面皮部淡棕红色，木部黄白色至棕黄色，髓部小，深棕色。叶多破碎，边缘腺齿，揉之有枫香气。气微，味甘、淡。</w:t>
      </w:r>
    </w:p>
    <w:p>
      <w:pPr>
        <w:spacing w:line="580" w:lineRule="exact"/>
        <w:ind w:firstLine="482" w:firstLineChars="20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【鉴别】</w:t>
      </w: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 xml:space="preserve"> </w:t>
      </w:r>
      <w:r>
        <w:rPr>
          <w:rFonts w:hint="eastAsia" w:cs="Times New Roman" w:asciiTheme="minorEastAsia" w:hAnsiTheme="minorEastAsia"/>
          <w:sz w:val="24"/>
          <w:szCs w:val="24"/>
        </w:rPr>
        <w:t>（1）</w:t>
      </w:r>
      <w:r>
        <w:rPr>
          <w:rFonts w:ascii="Times New Roman" w:hAnsi="Times New Roman"/>
          <w:sz w:val="24"/>
          <w:szCs w:val="24"/>
        </w:rPr>
        <w:t>粉末灰褐色。纤维单个散在或成束，壁厚薄不一，直径8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2</w:t>
      </w:r>
      <w:r>
        <w:rPr>
          <w:rFonts w:hint="eastAsia"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4"/>
          <w:szCs w:val="24"/>
        </w:rPr>
        <w:t>µm。石细胞类圆形或不</w:t>
      </w:r>
      <w:r>
        <w:rPr>
          <w:rFonts w:hint="eastAsia" w:ascii="Times New Roman" w:hAnsi="Times New Roman"/>
          <w:sz w:val="24"/>
          <w:szCs w:val="24"/>
        </w:rPr>
        <w:t>定</w:t>
      </w:r>
      <w:r>
        <w:rPr>
          <w:rFonts w:ascii="Times New Roman" w:hAnsi="Times New Roman"/>
          <w:sz w:val="24"/>
          <w:szCs w:val="24"/>
        </w:rPr>
        <w:t>形，胞腔明显。草酸钙</w:t>
      </w:r>
      <w:r>
        <w:rPr>
          <w:rFonts w:hint="eastAsia" w:ascii="Times New Roman" w:hAnsi="Times New Roman"/>
          <w:sz w:val="24"/>
          <w:szCs w:val="24"/>
        </w:rPr>
        <w:t>簇晶或</w:t>
      </w:r>
      <w:r>
        <w:rPr>
          <w:rFonts w:ascii="Times New Roman" w:hAnsi="Times New Roman"/>
          <w:sz w:val="24"/>
          <w:szCs w:val="24"/>
        </w:rPr>
        <w:t>方晶</w:t>
      </w:r>
      <w:r>
        <w:rPr>
          <w:rFonts w:hint="eastAsia" w:ascii="Times New Roman" w:hAnsi="Times New Roman"/>
          <w:sz w:val="24"/>
          <w:szCs w:val="24"/>
        </w:rPr>
        <w:t>散在</w:t>
      </w:r>
      <w:r>
        <w:rPr>
          <w:rFonts w:ascii="Times New Roman" w:hAnsi="Times New Roman"/>
          <w:sz w:val="24"/>
          <w:szCs w:val="24"/>
        </w:rPr>
        <w:t>，直径12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/>
          <w:sz w:val="24"/>
          <w:szCs w:val="24"/>
        </w:rPr>
        <w:t>45</w:t>
      </w:r>
      <w:r>
        <w:rPr>
          <w:rFonts w:ascii="Times New Roman" w:hAnsi="Times New Roman"/>
          <w:sz w:val="24"/>
          <w:szCs w:val="24"/>
        </w:rPr>
        <w:t>µm。导管多为具缘纹孔导管，直径22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/>
          <w:sz w:val="24"/>
          <w:szCs w:val="24"/>
        </w:rPr>
        <w:t>55µm。不规则棕色块多见。</w:t>
      </w:r>
    </w:p>
    <w:p>
      <w:pPr>
        <w:spacing w:line="580" w:lineRule="exact"/>
        <w:ind w:firstLine="480" w:firstLineChars="20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（2）</w:t>
      </w:r>
      <w:r>
        <w:rPr>
          <w:rFonts w:hint="eastAsia" w:cs="Times New Roman" w:asciiTheme="minorEastAsia" w:hAnsiTheme="minorEastAsia"/>
          <w:sz w:val="24"/>
          <w:szCs w:val="24"/>
        </w:rPr>
        <w:t>取本品粉末2g，加甲醇50ml，超声处理60分钟，滤过，滤液蒸干，残渣加甲醇1ml使溶解，作为供试品溶液。另取半枫荷对照药材2g，同法制成对照药材溶液。照薄层色谱法（中国药典2020年版通则0502）试验，吸取上述两种溶液各5～10</w:t>
      </w:r>
      <w:r>
        <w:rPr>
          <w:rFonts w:ascii="Times New Roman" w:hAnsi="Times New Roman" w:cs="Times New Roman"/>
          <w:sz w:val="24"/>
          <w:szCs w:val="24"/>
        </w:rPr>
        <w:t>µl</w:t>
      </w:r>
      <w:r>
        <w:rPr>
          <w:rFonts w:hint="eastAsia" w:cs="Times New Roman" w:asciiTheme="minorEastAsia" w:hAnsiTheme="minorEastAsia"/>
          <w:sz w:val="24"/>
          <w:szCs w:val="24"/>
        </w:rPr>
        <w:t>，分别点于同一硅胶G薄层板上，以三氯甲烷-甲醇（9:1）为展开剂，展开，取出，晾干，喷以25%磷钼酸乙醇溶液，在105℃加热至斑点显色清晰。供试品色谱中，在与对照药材色谱相应的位置上，显相同颜色的主斑点。</w:t>
      </w:r>
    </w:p>
    <w:p>
      <w:pPr>
        <w:autoSpaceDE w:val="0"/>
        <w:autoSpaceDN w:val="0"/>
        <w:adjustRightInd w:val="0"/>
        <w:snapToGrid w:val="0"/>
        <w:spacing w:line="580" w:lineRule="exact"/>
        <w:ind w:firstLine="602" w:firstLineChars="250"/>
        <w:jc w:val="left"/>
        <w:rPr>
          <w:color w:val="000000"/>
          <w:kern w:val="0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【检查】 水分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不得过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12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.0%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。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（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中国药典2020年版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通则0832 第二法）</w:t>
      </w:r>
    </w:p>
    <w:p>
      <w:pPr>
        <w:autoSpaceDE w:val="0"/>
        <w:autoSpaceDN w:val="0"/>
        <w:adjustRightInd w:val="0"/>
        <w:snapToGrid w:val="0"/>
        <w:spacing w:line="580" w:lineRule="exact"/>
        <w:ind w:firstLine="602" w:firstLineChars="250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总灰分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不得过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5.0%。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（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中国药典2020年版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通则2302）</w:t>
      </w:r>
    </w:p>
    <w:p>
      <w:pPr>
        <w:spacing w:line="580" w:lineRule="exact"/>
        <w:ind w:firstLine="482" w:firstLineChars="200"/>
        <w:rPr>
          <w:rFonts w:cs="Times New Roman" w:asciiTheme="minorEastAsia" w:hAnsiTheme="minorEastAsia"/>
          <w:color w:val="000000"/>
          <w:kern w:val="0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【浸出物】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 xml:space="preserve"> 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照醇溶性浸出物测定法（</w:t>
      </w:r>
      <w:r>
        <w:rPr>
          <w:rFonts w:hint="eastAsia" w:cs="Times New Roman" w:asciiTheme="minorEastAsia" w:hAnsiTheme="minorEastAsia"/>
          <w:kern w:val="0"/>
          <w:sz w:val="24"/>
          <w:szCs w:val="24"/>
        </w:rPr>
        <w:t>中国药典2020年版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通则2201）项下的热浸法测定，用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稀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乙醇作溶剂，不得少于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5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.</w:t>
      </w:r>
      <w:r>
        <w:rPr>
          <w:rFonts w:hint="eastAsia" w:cs="Times New Roman" w:asciiTheme="minorEastAsia" w:hAnsiTheme="minorEastAsia"/>
          <w:color w:val="000000"/>
          <w:kern w:val="0"/>
          <w:sz w:val="24"/>
          <w:szCs w:val="24"/>
        </w:rPr>
        <w:t>0</w:t>
      </w:r>
      <w:r>
        <w:rPr>
          <w:rFonts w:cs="Times New Roman" w:asciiTheme="minorEastAsia" w:hAnsiTheme="minorEastAsia"/>
          <w:color w:val="000000"/>
          <w:kern w:val="0"/>
          <w:sz w:val="24"/>
          <w:szCs w:val="24"/>
        </w:rPr>
        <w:t>%。</w:t>
      </w:r>
    </w:p>
    <w:p>
      <w:pPr>
        <w:spacing w:line="580" w:lineRule="exact"/>
        <w:ind w:firstLine="472" w:firstLineChars="19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【性味与归经】</w:t>
      </w:r>
      <w:r>
        <w:rPr>
          <w:rFonts w:hint="eastAsia" w:ascii="宋体" w:hAnsi="宋体"/>
          <w:color w:val="000000"/>
          <w:kern w:val="0"/>
          <w:sz w:val="24"/>
        </w:rPr>
        <w:t xml:space="preserve"> 涩，微苦，温。归肝经。</w:t>
      </w:r>
    </w:p>
    <w:p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【功能与主治】</w:t>
      </w:r>
      <w:r>
        <w:rPr>
          <w:rFonts w:hint="eastAsia" w:ascii="宋体" w:hAnsi="宋体"/>
          <w:color w:val="000000"/>
          <w:kern w:val="0"/>
          <w:sz w:val="24"/>
        </w:rPr>
        <w:t xml:space="preserve"> 祛风除湿，活血散瘀。用于风湿性关节炎，腰腿痛，跌打肿痛。</w:t>
      </w:r>
    </w:p>
    <w:p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【用法与用量】</w:t>
      </w:r>
      <w:r>
        <w:rPr>
          <w:rFonts w:hint="eastAsia" w:ascii="Times New Roman" w:hAnsi="Times New Roman" w:eastAsia="黑体" w:cs="Times New Roman"/>
          <w:b/>
          <w:sz w:val="24"/>
          <w:szCs w:val="28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10～30g。外用适量。</w:t>
      </w:r>
    </w:p>
    <w:p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</w:t>
      </w: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注意</w:t>
      </w:r>
      <w:r>
        <w:rPr>
          <w:rFonts w:ascii="Times New Roman" w:hAnsi="Times New Roman" w:eastAsia="黑体" w:cs="Times New Roman"/>
          <w:b/>
          <w:bCs/>
          <w:sz w:val="24"/>
          <w:szCs w:val="28"/>
        </w:rPr>
        <w:t>】</w:t>
      </w:r>
      <w:r>
        <w:rPr>
          <w:rFonts w:hint="eastAsia" w:ascii="Times New Roman" w:hAnsi="Times New Roman" w:cs="Times New Roman"/>
          <w:sz w:val="24"/>
          <w:szCs w:val="24"/>
        </w:rPr>
        <w:t xml:space="preserve"> 孕妇禁服。</w:t>
      </w:r>
    </w:p>
    <w:p>
      <w:pPr>
        <w:spacing w:line="580" w:lineRule="exact"/>
        <w:ind w:firstLine="480"/>
        <w:rPr>
          <w:rFonts w:ascii="宋体" w:hAnsi="宋体"/>
          <w:color w:val="000000"/>
          <w:kern w:val="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8"/>
        </w:rPr>
        <w:t>【贮藏】</w:t>
      </w:r>
      <w:r>
        <w:rPr>
          <w:rFonts w:hint="eastAsia" w:ascii="宋体" w:hAnsi="宋体"/>
          <w:color w:val="000000"/>
          <w:kern w:val="0"/>
          <w:sz w:val="24"/>
        </w:rPr>
        <w:t xml:space="preserve"> 置干燥处。</w:t>
      </w:r>
    </w:p>
    <w:p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b/>
          <w:bCs/>
          <w:sz w:val="24"/>
          <w:szCs w:val="28"/>
        </w:rPr>
        <w:t>【药材标准】</w:t>
      </w:r>
      <w:r>
        <w:rPr>
          <w:rFonts w:hint="eastAsia" w:ascii="黑体" w:hAnsi="黑体" w:eastAsia="黑体"/>
          <w:color w:val="000000"/>
          <w:kern w:val="0"/>
          <w:sz w:val="24"/>
        </w:rPr>
        <w:t xml:space="preserve"> </w:t>
      </w:r>
      <w:r>
        <w:rPr>
          <w:rFonts w:hint="eastAsia" w:ascii="宋体" w:hAnsi="宋体"/>
          <w:color w:val="000000"/>
          <w:kern w:val="0"/>
          <w:sz w:val="24"/>
        </w:rPr>
        <w:t>《广西壮族自治区瑶药材质量标准》第</w:t>
      </w:r>
      <w:bookmarkStart w:id="0" w:name="_GoBack"/>
      <w:bookmarkEnd w:id="0"/>
      <w:r>
        <w:rPr>
          <w:rFonts w:hint="eastAsia" w:ascii="宋体" w:hAnsi="宋体"/>
          <w:color w:val="000000"/>
          <w:kern w:val="0"/>
          <w:sz w:val="24"/>
        </w:rPr>
        <w:t>一卷。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850890" cy="320040"/>
              <wp:effectExtent l="0" t="0" r="0" b="3810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5089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808080" w:themeColor="text1" w:themeTint="80"/>
                                <w14:textFill>
                                  <w14:solidFill>
                                    <w14:schemeClr w14:val="tx1">
                                      <w14:lumMod w14:val="50000"/>
                                      <w14:lumOff w14:val="50000"/>
                                    </w14:schemeClr>
                                  </w14:solidFill>
                                </w14:textFill>
                              </w:rPr>
                            </w:sdtEndPr>
                            <w:sdtContent>
                              <w:p>
                                <w:pPr>
                                  <w:jc w:val="right"/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</w:pPr>
                                <w:r>
                                  <w:rPr>
                                    <w:color w:val="808080" w:themeColor="text1" w:themeTint="80"/>
                                    <w14:textFill>
                                      <w14:solidFill>
                                        <w14:schemeClr w14:val="tx1">
                                          <w14:lumMod w14:val="50000"/>
                                          <w14:lumOff w14:val="50000"/>
                                        </w14:schemeClr>
                                      </w14:solidFill>
                                    </w14:textFill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>
                            <w:pPr>
                              <w:jc w:val="right"/>
                              <w:rPr>
                                <w:color w:val="7F7F7F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组 37" o:spid="_x0000_s1026" o:spt="203" style="position:absolute;left:0pt;margin-left:70.9pt;margin-top:727.75pt;height:25.2pt;width:460.7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>起草单位：广西壮族自治区中医药研究院                         桂林毕生药业有限公司</w:t>
    </w:r>
  </w:p>
  <w:p>
    <w:pPr>
      <w:ind w:firstLine="1050" w:firstLineChars="500"/>
      <w:jc w:val="left"/>
    </w:pPr>
    <w:r>
      <w:rPr>
        <w:rFonts w:hint="eastAsia"/>
      </w:rPr>
      <w:t>广西仙茱中药科技有限公司                           广西宝正药业有限公司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hideSpellingErrors/>
  <w:hideGrammaticalError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280FBB"/>
    <w:rsid w:val="0002206F"/>
    <w:rsid w:val="00027D40"/>
    <w:rsid w:val="00060B05"/>
    <w:rsid w:val="00082A0D"/>
    <w:rsid w:val="000A08D5"/>
    <w:rsid w:val="000D1158"/>
    <w:rsid w:val="000D303B"/>
    <w:rsid w:val="0010037A"/>
    <w:rsid w:val="00100718"/>
    <w:rsid w:val="001143FB"/>
    <w:rsid w:val="001257A1"/>
    <w:rsid w:val="00131814"/>
    <w:rsid w:val="001445BD"/>
    <w:rsid w:val="001606EF"/>
    <w:rsid w:val="00160B7A"/>
    <w:rsid w:val="001A7EFC"/>
    <w:rsid w:val="001B2B7C"/>
    <w:rsid w:val="001B5032"/>
    <w:rsid w:val="001B5D7D"/>
    <w:rsid w:val="001C09AF"/>
    <w:rsid w:val="0023310D"/>
    <w:rsid w:val="002570DE"/>
    <w:rsid w:val="00275CBB"/>
    <w:rsid w:val="00280FBB"/>
    <w:rsid w:val="00291EAC"/>
    <w:rsid w:val="002C25A2"/>
    <w:rsid w:val="003137E4"/>
    <w:rsid w:val="00342666"/>
    <w:rsid w:val="0035735B"/>
    <w:rsid w:val="00362D18"/>
    <w:rsid w:val="0036741B"/>
    <w:rsid w:val="00371EB5"/>
    <w:rsid w:val="003725DC"/>
    <w:rsid w:val="003727A0"/>
    <w:rsid w:val="00374C57"/>
    <w:rsid w:val="00374E22"/>
    <w:rsid w:val="003B331D"/>
    <w:rsid w:val="003C559D"/>
    <w:rsid w:val="003F128C"/>
    <w:rsid w:val="003F1906"/>
    <w:rsid w:val="003F3012"/>
    <w:rsid w:val="003F7B4C"/>
    <w:rsid w:val="0040102B"/>
    <w:rsid w:val="00401D20"/>
    <w:rsid w:val="00402777"/>
    <w:rsid w:val="004209BA"/>
    <w:rsid w:val="00423459"/>
    <w:rsid w:val="00447FC0"/>
    <w:rsid w:val="00465778"/>
    <w:rsid w:val="00483C7E"/>
    <w:rsid w:val="00486E6A"/>
    <w:rsid w:val="004A66F4"/>
    <w:rsid w:val="004B4F1B"/>
    <w:rsid w:val="004B5CA5"/>
    <w:rsid w:val="004E47E7"/>
    <w:rsid w:val="004E7D95"/>
    <w:rsid w:val="004F03EE"/>
    <w:rsid w:val="005040FC"/>
    <w:rsid w:val="00511F2F"/>
    <w:rsid w:val="0051473F"/>
    <w:rsid w:val="005172A6"/>
    <w:rsid w:val="0052550C"/>
    <w:rsid w:val="0052717F"/>
    <w:rsid w:val="0054068E"/>
    <w:rsid w:val="00561342"/>
    <w:rsid w:val="005822DE"/>
    <w:rsid w:val="00583813"/>
    <w:rsid w:val="00593675"/>
    <w:rsid w:val="005A69B8"/>
    <w:rsid w:val="005B77EB"/>
    <w:rsid w:val="005C0742"/>
    <w:rsid w:val="005C57E9"/>
    <w:rsid w:val="00615E28"/>
    <w:rsid w:val="00643725"/>
    <w:rsid w:val="00644CE9"/>
    <w:rsid w:val="006478DD"/>
    <w:rsid w:val="00651931"/>
    <w:rsid w:val="0065309B"/>
    <w:rsid w:val="00683BE6"/>
    <w:rsid w:val="00691777"/>
    <w:rsid w:val="00692B97"/>
    <w:rsid w:val="006A2D34"/>
    <w:rsid w:val="006A7C88"/>
    <w:rsid w:val="006B5A07"/>
    <w:rsid w:val="006D5A28"/>
    <w:rsid w:val="006E6B76"/>
    <w:rsid w:val="006F5415"/>
    <w:rsid w:val="0071480F"/>
    <w:rsid w:val="00723F87"/>
    <w:rsid w:val="00727A88"/>
    <w:rsid w:val="00730164"/>
    <w:rsid w:val="00734BE8"/>
    <w:rsid w:val="00750726"/>
    <w:rsid w:val="007551DD"/>
    <w:rsid w:val="007748E6"/>
    <w:rsid w:val="00780E37"/>
    <w:rsid w:val="00790278"/>
    <w:rsid w:val="00790541"/>
    <w:rsid w:val="00793213"/>
    <w:rsid w:val="00796E61"/>
    <w:rsid w:val="007A76A0"/>
    <w:rsid w:val="007D02E3"/>
    <w:rsid w:val="008038BA"/>
    <w:rsid w:val="0081154C"/>
    <w:rsid w:val="00822281"/>
    <w:rsid w:val="00824D5D"/>
    <w:rsid w:val="00826F92"/>
    <w:rsid w:val="00833CEF"/>
    <w:rsid w:val="00852798"/>
    <w:rsid w:val="00853826"/>
    <w:rsid w:val="008548DF"/>
    <w:rsid w:val="008778E7"/>
    <w:rsid w:val="00882390"/>
    <w:rsid w:val="0088725C"/>
    <w:rsid w:val="00890005"/>
    <w:rsid w:val="008A0A72"/>
    <w:rsid w:val="008A2F6E"/>
    <w:rsid w:val="008B21D2"/>
    <w:rsid w:val="008C23D4"/>
    <w:rsid w:val="008C74EF"/>
    <w:rsid w:val="008C7A04"/>
    <w:rsid w:val="008E7B4A"/>
    <w:rsid w:val="008E7E90"/>
    <w:rsid w:val="008F1A0E"/>
    <w:rsid w:val="008F2F26"/>
    <w:rsid w:val="00950950"/>
    <w:rsid w:val="009573F6"/>
    <w:rsid w:val="00962705"/>
    <w:rsid w:val="00965DDA"/>
    <w:rsid w:val="00975279"/>
    <w:rsid w:val="00977512"/>
    <w:rsid w:val="00977DEA"/>
    <w:rsid w:val="009841AA"/>
    <w:rsid w:val="009B5B8D"/>
    <w:rsid w:val="009B79F9"/>
    <w:rsid w:val="009D029D"/>
    <w:rsid w:val="009D0532"/>
    <w:rsid w:val="00A027C4"/>
    <w:rsid w:val="00A109CB"/>
    <w:rsid w:val="00A1129C"/>
    <w:rsid w:val="00A13390"/>
    <w:rsid w:val="00A13CC5"/>
    <w:rsid w:val="00A42CB2"/>
    <w:rsid w:val="00A65ABA"/>
    <w:rsid w:val="00A675E2"/>
    <w:rsid w:val="00A904A3"/>
    <w:rsid w:val="00A91FE3"/>
    <w:rsid w:val="00AB67ED"/>
    <w:rsid w:val="00AE1C87"/>
    <w:rsid w:val="00AE3834"/>
    <w:rsid w:val="00B404D0"/>
    <w:rsid w:val="00B41F1C"/>
    <w:rsid w:val="00B5741D"/>
    <w:rsid w:val="00B673B2"/>
    <w:rsid w:val="00B8553B"/>
    <w:rsid w:val="00B96658"/>
    <w:rsid w:val="00BA4804"/>
    <w:rsid w:val="00BA54AC"/>
    <w:rsid w:val="00BF4ABA"/>
    <w:rsid w:val="00C061DE"/>
    <w:rsid w:val="00C11A3C"/>
    <w:rsid w:val="00C21C53"/>
    <w:rsid w:val="00C25610"/>
    <w:rsid w:val="00C34582"/>
    <w:rsid w:val="00C41D70"/>
    <w:rsid w:val="00C578D5"/>
    <w:rsid w:val="00C7545E"/>
    <w:rsid w:val="00C86518"/>
    <w:rsid w:val="00CB6A08"/>
    <w:rsid w:val="00CE03F0"/>
    <w:rsid w:val="00CE1391"/>
    <w:rsid w:val="00CF0D57"/>
    <w:rsid w:val="00D07950"/>
    <w:rsid w:val="00D10693"/>
    <w:rsid w:val="00D179CC"/>
    <w:rsid w:val="00D37C5F"/>
    <w:rsid w:val="00D441E5"/>
    <w:rsid w:val="00D5013C"/>
    <w:rsid w:val="00D51302"/>
    <w:rsid w:val="00D621A0"/>
    <w:rsid w:val="00D65CD6"/>
    <w:rsid w:val="00D77A73"/>
    <w:rsid w:val="00D97B65"/>
    <w:rsid w:val="00DA1482"/>
    <w:rsid w:val="00DA7F0A"/>
    <w:rsid w:val="00DD64DE"/>
    <w:rsid w:val="00DE2976"/>
    <w:rsid w:val="00DE4E15"/>
    <w:rsid w:val="00E0017C"/>
    <w:rsid w:val="00E037D3"/>
    <w:rsid w:val="00E13BD8"/>
    <w:rsid w:val="00E13F6F"/>
    <w:rsid w:val="00E27404"/>
    <w:rsid w:val="00E30924"/>
    <w:rsid w:val="00E45F65"/>
    <w:rsid w:val="00E521A8"/>
    <w:rsid w:val="00E54D57"/>
    <w:rsid w:val="00E83AC5"/>
    <w:rsid w:val="00E903E8"/>
    <w:rsid w:val="00E940EE"/>
    <w:rsid w:val="00EA6CE4"/>
    <w:rsid w:val="00EB0E03"/>
    <w:rsid w:val="00EC0BAC"/>
    <w:rsid w:val="00EE020A"/>
    <w:rsid w:val="00EF3BAA"/>
    <w:rsid w:val="00F0587A"/>
    <w:rsid w:val="00F12A94"/>
    <w:rsid w:val="00F14CF1"/>
    <w:rsid w:val="00F207F7"/>
    <w:rsid w:val="00F250C1"/>
    <w:rsid w:val="00F27843"/>
    <w:rsid w:val="00F333FD"/>
    <w:rsid w:val="00F37336"/>
    <w:rsid w:val="00F47F53"/>
    <w:rsid w:val="00F53122"/>
    <w:rsid w:val="00F667AC"/>
    <w:rsid w:val="00F7611D"/>
    <w:rsid w:val="00F9009F"/>
    <w:rsid w:val="00FA4EA8"/>
    <w:rsid w:val="00FA58ED"/>
    <w:rsid w:val="00FA78D2"/>
    <w:rsid w:val="00FB56C5"/>
    <w:rsid w:val="00FD725E"/>
    <w:rsid w:val="17292320"/>
    <w:rsid w:val="49906F55"/>
    <w:rsid w:val="5CCC6EA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676</Words>
  <Characters>799</Characters>
  <Lines>5</Lines>
  <Paragraphs>1</Paragraphs>
  <TotalTime>22</TotalTime>
  <ScaleCrop>false</ScaleCrop>
  <LinksUpToDate>false</LinksUpToDate>
  <CharactersWithSpaces>819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2023-01-16T02:16:00Z</dcterms:created>
  <dc:creator>李丽莉</dc:creator>
  <cp:lastModifiedBy>黄玉华</cp:lastModifiedBy>
  <cp:lastPrinted>2021-08-04T07:19:00Z</cp:lastPrinted>
  <dcterms:modified xsi:type="dcterms:W3CDTF">2023-06-05T09:23:15Z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312E9BA8CCD24A05AB67292D82AEADC9_13</vt:lpwstr>
  </property>
</Properties>
</file>