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 w:cs="黑体"/>
          <w:bCs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黑体"/>
          <w:bCs/>
          <w:color w:val="000000"/>
          <w:kern w:val="0"/>
          <w:sz w:val="44"/>
          <w:szCs w:val="44"/>
          <w:lang w:bidi="ar-SA"/>
        </w:rPr>
        <w:t>化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妆品电子商务平台核查线索移交表</w:t>
      </w:r>
    </w:p>
    <w:p>
      <w:pPr>
        <w:spacing w:line="560" w:lineRule="exact"/>
        <w:jc w:val="center"/>
        <w:rPr>
          <w:rFonts w:hint="eastAsia" w:ascii="方正小标宋简体" w:eastAsia="方正小标宋简体" w:cs="黑体"/>
          <w:bCs/>
          <w:color w:val="000000"/>
          <w:kern w:val="0"/>
          <w:sz w:val="44"/>
          <w:szCs w:val="44"/>
          <w:lang w:bidi="ar-S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09"/>
        <w:gridCol w:w="1134"/>
        <w:gridCol w:w="975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电子商务平台名称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联系人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移交时间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移交单位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437" w:type="dxa"/>
            <w:gridSpan w:val="5"/>
            <w:noWrap w:val="0"/>
            <w:vAlign w:val="top"/>
          </w:tcPr>
          <w:p>
            <w:pPr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移交线索涉及的主要涉嫌违法行为：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电子商务平台已做出的处置措施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做出处置措施的时间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4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 xml:space="preserve">   核查线索移交内容（应当包括但不限于1-5项内容）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5352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1.涉嫌违法化妆品名称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5352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2.涉嫌违法化妆品的销售网址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5352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3.涉嫌违法化妆品的产品展示页面图片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以附件形式提交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5352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4.涉嫌违法化妆品的平台内经营者实际经营地信息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以附件形式提交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53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5.涉嫌违法化妆品的相关交易记录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以附件形式提交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53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6.其他相关信息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</w:tc>
      </w:tr>
    </w:tbl>
    <w:p>
      <w:pPr>
        <w:spacing w:line="59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</w:p>
    <w:p>
      <w:pPr>
        <w:bidi w:val="0"/>
        <w:rPr>
          <w:rFonts w:hint="eastAsia"/>
          <w:color w:val="00000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5133E"/>
    <w:rsid w:val="322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2021-10-28T02:24:00Z</dcterms:created>
  <dc:creator>周菊如</dc:creator>
  <cp:lastModifiedBy>周菊如</cp:lastModifiedBy>
  <dcterms:modified xsi:type="dcterms:W3CDTF">2021-10-28T02:24:25Z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